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469 vom 31. Mai 2018</w:t>
      </w:r>
    </w:p>
    <w:p>
      <w:r>
        <w:t>VD Tribunal cantonal, 2018-05-31, FR</w:t>
      </w:r>
    </w:p>
    <w:p>
      <w:r>
        <w:rPr>
          <w:b/>
        </w:rPr>
        <w:t xml:space="preserve">Quelle: </w:t>
      </w:r>
      <w:r>
        <w:t>https://mcp.opencaselaw.ch/entscheid/vd_findinfo_D_cision___2018___469</w:t>
      </w:r>
    </w:p>
    <w:p>
      <w:r>
        <w:t>FR: VD_FINDINFO Décision / 2018 / 469 du 31 mai 2018</w:t>
      </w:r>
    </w:p>
    <w:p>
      <w:r>
        <w:t>IT: VD_FINDINFO Décision / 2018 / 469 del 31 maggio 2018</w:t>
      </w:r>
    </w:p>
    <w:p>
      <w:pPr>
        <w:pStyle w:val="Heading2"/>
      </w:pPr>
      <w:r>
        <w:t>Regeste</w:t>
      </w:r>
    </w:p>
    <w:p>
      <w:r>
        <w:t>DÉFENSE D'OFFICE, REJET DE LA DEMANDE | 132 CPP (CH)</w:t>
      </w:r>
    </w:p>
    <w:p>
      <w:pPr>
        <w:pStyle w:val="Heading2"/>
      </w:pPr>
      <w:r>
        <w:t>Erwägungen</w:t>
      </w:r>
    </w:p>
    <w:p>
      <w:r>
        <w:rPr>
          <w:b/>
        </w:rPr>
        <w:t>E. 1</w:t>
      </w:r>
    </w:p>
    <w:p>
      <w:r>
        <w:t>Interjeté dans le délai légal (art. 396 al. 1 CPP [Code de procédure pénale suisse du 5 octobre 2007 ; RS 312.0]) contre une décision du Ministère public refusant au prévenu la désignation d'un deuxième défenseur d'office (art. 393 al. 1 let. a CPP), par une partie qui a qualité pour recourir (art. 382 al. 1 CPP) et dans les formes prescrites (art. 385 al. 1 CPP), le recours est recevable (Moreillon/Parein-Reymond, Code de procédure pénale, Petit commentaire, 2 e ed. Bâle 2016, n. 18 ad art. 132 CPP; CREP 17 août 2017/542 consid. 1 et les réf. citées).</w:t>
      </w:r>
    </w:p>
    <w:p>
      <w:r>
        <w:rPr>
          <w:b/>
        </w:rPr>
        <w:t>E. 2.1</w:t>
      </w:r>
    </w:p>
    <w:p>
      <w:r>
        <w:t>Le recourant requiert qu’un deuxième défenseur d’office lui soit désigné.</w:t>
      </w:r>
    </w:p>
    <w:p>
      <w:r>
        <w:rPr>
          <w:b/>
        </w:rPr>
        <w:t>E. 2.2</w:t>
      </w:r>
    </w:p>
    <w:p>
      <w:r>
        <w:t>Dans un arrêt 6B_46/2013 du 12 mars 2013, le Tribunal fédéral a considéré que, s'agissant du droit à se voir désigner plusieurs conseils d'office au bénéfice de l'assistance judiciaire, la Cour européenne des droits de l'homme avait d'abord admis que l'art. 6 § 3 let. c CEDH (Convention de sauvegarde des droits de l'homme et des libertés fondamentales du 4 novembre 1950; RS 0.101) ne conférait à l'accusé aucun droit d'être assisté de plusieurs avocats (arrêt dans la cause Ensslin, Baader, Raspe contre Allemagne du 8 juillet 1978, Décisions et rapports, vol. 14, § 19). Dans un arrêt ultérieur, elle avait précisé qu'en soi, la désignation de plus d'un avocat ne se heurtait pas davantage à la Convention et que l'intérêt de la justice pouvait même parfois la commander (arrêt dans la cause Croissant contre Allemagne du 25 septembre 1992, Série A, vol. 237-B, § 27). La désignation d'un deuxième avocat d'office n'était donc pas exclue lorsque cette mesure est nécessaire pour assurer à l'inculpé une défense adéquate de ses intérêts tout au long de la procédure, compte tenu de la durée possible de celle-ci, de l'objet du procès, de la complexité des questions de fait et de droit en jeu et de la personnalité de l'accusé (TF 1P.607/2004 du 22 novembre 2004 consid. 2 ; Moreillon/Parein-Reymond, op. cit., n. 6a ad art. 132 CPP ). Ainsi, un prévenu se trouvant dans une situation de défense obligatoire doit se voir nommer un avocat d'office et pouvoir bénéficier, cas échéant, de l'assistance judiciaire. Il n'a en revanche aucun droit constitutionnel à se voir désigner un deuxième avocat d'office rémunéré par l'assistance judiciaire, sauf cas exceptionnel.</w:t>
      </w:r>
    </w:p>
    <w:p>
      <w:r>
        <w:rPr>
          <w:b/>
        </w:rPr>
        <w:t>E. 2.3</w:t>
      </w:r>
    </w:p>
    <w:p>
      <w:r>
        <w:t>En l’occurrence, il s’agit d’examiner si l’affaire peut être qualifiée de cas exceptionnel au sens de la  jurisprudence précitée. Le recourant soutient en substance que puisqu’il conteste la qualification juridique d’escroquerie, son défenseur devra se pencher dans le moindre détail de chacune des plaintes pour relever les éléments pertinents à sa défense. Il relève aussi le fait qu’il faudra vérifier l’intégralité des allégations des plaignants avant la fin de l’instruction, ce qui impliquerait une lecture attentive de chaque plainte et des pièces à son appui, la confrontation de ces éléments avec le reste du dossier, notamment avec les auditions ou les pièces contradictoires. Il met également en évidence le nombre élevé de parties plaignantes, soit quelques 77 ainsi que le nombre de classeurs fédéraux faisant actuellement partie du dossier, soit environ 40. Les arguments développés par le recourant ne font pas apparaître cette affaire comme une cause hors norme. Il n’y a aucun motif pour retenir que l’enquête serait d’une complexité telle qu’elle devrait être qualifiée de cas exceptionnel s’agissant tant des faits, que du droit, que de la personnalité du prévenu ou encore de la durée de l’enquête. Les auditions touchent à leur fin et le dossier est stabilisé, la dernière plainte remontant à presque deux ans. De plus, comme le relève le Procureur à juste titre, les plaintes, bien qu’elles soient nombreuses, sont assez semblables dès lors que le mode opératoire reproché aux prévenus varie peu à l’intérieur des différentes catégories d’investissements concernés, ce qui induit un traitement juridique simplifié des cas. Partant, les difficultés en droit ne sont pas particulières au point de désigner un deuxième défenseur d’office à P.________. On relèvera en outre que le travail d’un avocat tel que décrit par la défense à l’appui de son recours, est inhérent à maintes affaires de criminalité économique.</w:t>
      </w:r>
    </w:p>
    <w:p>
      <w:r>
        <w:rPr>
          <w:b/>
        </w:rPr>
        <w:t>E. 3</w:t>
      </w:r>
    </w:p>
    <w:p>
      <w:r>
        <w:t>En définitive, le recours de P.________ doit être rejeté et la décision du Ministère public du 13 avril 2018 confirmée. Les frais de la procédure de recours, constitués en l’espèce de l’émolument d'arrêt, par 550 fr. (art. 20 al. 1 TFIP [Tarif des frais de procédure et indemnités en matière pénale du 28 septembre 2010 ; RSV 312.03.1]) et des frais imputables à la défense d’office (art. 422 al. 1 et 2 let. a CPP), fixés à 540 fr., plus la TVA, par 41 fr. 60, soit à 581 fr. 60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La décision du 13 avril 2018 est confirmée. III. L’indemnité allouée au défenseur d’office de P.________ est fixée à 581 fr. 60 (cinq cent huitante et un francs et soixante centimes). IV. Les frais d'arrêt, par 550 fr. (cinq cent cinquante francs), ainsi que l'indemnité due au défenseur d'office de P.________, par 581 fr. 60 (cinq cent huitante et un francs et soixante centimes), sont mis à la charge de ce dernier. V. Le remboursement à l'Etat de l'indemnité allouée au chiffre III ci-dessus sera exigible dès que la situation financière de P.________ le permettra. VI. L’arrêt est exécutoire. Le président :               La greffière : Du Le présent arrêt, dont la rédaction a été approuvée à huis clos, est notifié, par l'envoi d'une copie complète, à : - Me Julien Waeber, avocat (pour P.________),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