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460 vom 12. Juni 2018</w:t>
      </w:r>
    </w:p>
    <w:p>
      <w:r>
        <w:t>VD Tribunal cantonal, 2018-06-12, FR</w:t>
      </w:r>
    </w:p>
    <w:p>
      <w:r>
        <w:rPr>
          <w:b/>
        </w:rPr>
        <w:t xml:space="preserve">Quelle: </w:t>
      </w:r>
      <w:r>
        <w:t>https://mcp.opencaselaw.ch/entscheid/vd_findinfo_D_cision___2018___460</w:t>
      </w:r>
    </w:p>
    <w:p>
      <w:r>
        <w:t>FR: VD_FINDINFO Décision / 2018 / 460 du 12 juin 2018</w:t>
      </w:r>
    </w:p>
    <w:p>
      <w:r>
        <w:t>IT: VD_FINDINFO Décision / 2018 / 460 del 12 giugno 2018</w:t>
      </w:r>
    </w:p>
    <w:p>
      <w:pPr>
        <w:pStyle w:val="Heading2"/>
      </w:pPr>
      <w:r>
        <w:t>Regeste</w:t>
      </w:r>
    </w:p>
    <w:p>
      <w:r>
        <w:t>RÉCUSATION, ABUS DE DROIT | 56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X.________ à l’encontre du Président V.________ (art. 13 LVCPP [loi vaudoise d’introduction du Code de procédure pénale suisse du 19 mai 2009 ; RSV 312.01]).</w:t>
      </w:r>
    </w:p>
    <w:p>
      <w:r>
        <w:rPr>
          <w:b/>
        </w:rPr>
        <w:t>E. 2.1</w:t>
      </w:r>
    </w:p>
    <w:p>
      <w:r>
        <w:t>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 ATF 130 IV 72 consid. 2.2 ; ATF 125 IV 79 consid. 1b). L’interdiction de l’abus de droit en procédure pénale ne vaut pas seulement pour les autorités pénales, comme énoncé à l’art. 3 al. 2 CPP ; elle impose aussi quelques obligations aux parties, même au prévenu (cf. ATF 130 précité ; cf. aussi, sur l’obligation du destinataire d’un acte omettant d’indiquer la voie de recours ouverte de se renseigner à ce sujet dans un délai raisonnable, TF 6B_964/2013 du 6 février 2015 consid. 3.4). Dès lors, abuse manifestement de la procédure de récusation le prévenu qui, une semaine après le rejet d’une première demande, forme une nouvelle demande contre le même magistrat, pour le même motif, sans le moindre fait substantiellement nouveau. Faute d’intérêt digne de protection de son auteur à obtenir une décision sur son bien-fondé, une telle demande doit être déclarée irrecevable (cf., en procédure civile, art. 132 al. 3 CPC [Code de procédure civile du 19 décembre 2008 ; RS 272]).</w:t>
      </w:r>
    </w:p>
    <w:p>
      <w:r>
        <w:rPr>
          <w:b/>
        </w:rPr>
        <w:t>E. 2.2</w:t>
      </w:r>
    </w:p>
    <w:p>
      <w:r>
        <w:t>En l’espèce, le motif de la demande de récusation présentée le 31 mai 2018 est identique à celui de la demande de récusation présentée le 2 mai 2018 : X.________ demande au Président V.________ de remplir et signer la « déclaration de transparence » qu'il lui a soumise et de se récuser s'il refuse de le faire. Il n'y a par conséquent pas lieu d'entrer en matière sur cette nouvelle requête de récusation, qui doit être déclarée irrecevable.</w:t>
      </w:r>
    </w:p>
    <w:p>
      <w:r>
        <w:rPr>
          <w:b/>
        </w:rPr>
        <w:t>E. 3</w:t>
      </w:r>
    </w:p>
    <w:p>
      <w:r>
        <w:t>Les frais de procédure, par 550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31 mai 2018 par X.________ contre le Président V.________ est irrecevable. II. Les frais de décision, par 550 fr. (cinq cent cinquante francs), sont mis à la charge de X.________. III. La décision est exécutoire. Le président :              La greffière : Du Le présent arrêt, dont la rédaction a été approuvée à huis clos, est notifié, par l'envoi d'une copie complète, à : - M. X.________, - Ministère public central, et communiqué à : - M. le Président du Tribunal de police de l'arrondissement de La Côte,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