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459 vom 12. Juni 2018</w:t>
      </w:r>
    </w:p>
    <w:p>
      <w:r>
        <w:t>VD Tribunal cantonal, 2018-06-12, FR</w:t>
      </w:r>
    </w:p>
    <w:p>
      <w:r>
        <w:rPr>
          <w:b/>
        </w:rPr>
        <w:t xml:space="preserve">Quelle: </w:t>
      </w:r>
      <w:r>
        <w:t>https://mcp.opencaselaw.ch/entscheid/vd_findinfo_D_cision___2018___459</w:t>
      </w:r>
    </w:p>
    <w:p>
      <w:r>
        <w:t>FR: VD_FINDINFO Décision / 2018 / 459 du 12 juin 2018</w:t>
      </w:r>
    </w:p>
    <w:p>
      <w:r>
        <w:t>IT: VD_FINDINFO Décision / 2018 / 459 del 12 giugno 2018</w:t>
      </w:r>
    </w:p>
    <w:p>
      <w:pPr>
        <w:pStyle w:val="Heading2"/>
      </w:pPr>
      <w:r>
        <w:t>Regeste</w:t>
      </w:r>
    </w:p>
    <w:p>
      <w:r>
        <w:t>DÉTENTION PROVISOIRE, PROLONGATION, RISQUE DE RÉCIDIVE, MESURE DE SUBSTITUTION À LA DÉTENTION | 221 al. 1 let. c CPP (CH), 227 CPP (CH)</w:t>
      </w:r>
    </w:p>
    <w:p>
      <w:pPr>
        <w:pStyle w:val="Heading2"/>
      </w:pPr>
      <w:r>
        <w:t>Erwägungen</w:t>
      </w:r>
    </w:p>
    <w:p>
      <w:r>
        <w:rPr>
          <w:b/>
        </w:rPr>
        <w:t>E. 1</w:t>
      </w:r>
    </w:p>
    <w:p>
      <w:r>
        <w:t>Interjeté dans le délai légal (art. 396 al. 1 CPP) contre une décision du Tribunal des mesures de contrainte dans un cas prévu par le Code de procédure pénale (art. 222 et 393 al. 1 let. c CPP), par le détenu qui 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w:t>
      </w:r>
    </w:p>
    <w:p>
      <w:r>
        <w:rPr>
          <w:b/>
        </w:rPr>
        <w:t>E. 3.2</w:t>
      </w:r>
    </w:p>
    <w:p>
      <w:r>
        <w:t>Le recourant ne conteste pas que de graves soupçons de culpabilité pèsent contre lui. Même s’il réfute être l’instigateur du brigandage, il admet y avoir participé de manière active dans le but d’en retirer un avantage financier. Il concède également avoir neutralisé la victime à l’aide d’un taser, quand bien même il conteste désormais être le propriétaire de cette arme. Aussi, la première condition posée par l’art. 221 al. 1 CPP apparaît incontestablement réalisée.</w:t>
      </w:r>
    </w:p>
    <w:p>
      <w:r>
        <w:rPr>
          <w:b/>
        </w:rPr>
        <w:t>E. 3.3</w:t>
      </w:r>
    </w:p>
    <w:p>
      <w:r>
        <w:t>et les références citées). D'ailleurs, la mise en œuvre d'un tel moyen est parfois suffisante pour dissuader le prévenu d'enfreindre l'assignation à résidence et l'interdiction de périmètre ; en tout état, la surveillance électronique ne saurait être écartée d'emblée au motif que les équipements techniques feraient défaut (TF 1B_108/2018 du 28 mars 2018 consid. 3.3 et les références citées).</w:t>
      </w:r>
    </w:p>
    <w:p>
      <w:r>
        <w:rPr>
          <w:b/>
        </w:rPr>
        <w:t>E. 4.1</w:t>
      </w:r>
    </w:p>
    <w:p>
      <w:r>
        <w:t>S’agissant du risque de réitération, le recourant fait valoir qu’il n’était âgé que de 19 ans au moment des faits, qu’il aurait établi s’être amendé depuis son arrestation, qu’il n’aurait été qu’un exécutant et non la tête pensante du groupe ayant commis le brigandage – dont il prétend par ailleurs qu’il ne devait s’agir, à la base, que d’un simple cambriolage sans violence – et qu’il serait démontré qu’il n’aurait tendance à déraper que lorsqu’il se trouve sous l’influence de stupéfiants et/ou de l’alcool. Il ajoute que B.________ n’aurait de son propre aveu subi aucune séquelle ni été affecté moralement des suites du brigandage, ce qui signifierait, toujours selon lui, qu’il est un amateur en termes de commission d’infractions. Au demeurant, le recourant soutient qu’en l’absence d’antécédents comportant des actes de violence, l’on ne pourrait retenir un risque de récidive ni poser un pronostic défavorable à son encontre.</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 TF 1B_217/2016 du 29 juin 2016 consid. 4.1 ; TF 1B_731/2011 du 16 janvier 2012 consid. 3.1). La gravité de l'infraction dépend, outre de la peine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 TF 1B_404/2017 du 18 octobre 2017 consid. 5.1 ; TF 1B_455/2016 du 9 décembre 2016 consid. 3.1).</w:t>
      </w:r>
    </w:p>
    <w:p>
      <w:r>
        <w:rPr>
          <w:b/>
        </w:rPr>
        <w:t>E. 4.3</w:t>
      </w:r>
    </w:p>
    <w:p>
      <w:r>
        <w:t>En l’espèce, l’existence d’un risque de récidive est claire et doit être confirmée. Le recourant perd en effet de vue qu’au-delà de la condamnation de peu de gravité pour opposition aux actes de l’autorité et utilisation sans droit d’un cycle ou cyclomoteur dont il a fait l’objet en mai 2017, il est actuellement sous le coup non seulement de la présente enquête, mais également d’une autre instruction pénale pour lésions corporelles simples, ouverte en septembre 2017. Le recourant a par ailleurs admis de lui-même avoir fait l’objet de poursuites pénales alors qu’il était encore mineur, pour des faits manifestement constitutifs d’une atteinte à l’intégrité corporelle. Il a également confessé avoir tenté de commettre un vol à l’arraché auprès d’un employé de la Poste il y a une année environ. C’est dire qu’en particulièrement peu de temps et pratiquement dès son accès à la majorité, J.________ a commis plusieurs infractions dont la gravité ne saurait être minimisée, s’agissant d’actes touchant à l’intégrité physique et non dénués de violence. On rappellera en outre que, s’agissant du brigandage reproché en l’espèce, le recourant a reconnu y avoir activement participé et n’avoir pas hésité à faire usage du taser alors en sa possession. Même si l’enquête est toujours en cours et qu’il n’a pas encore fait l’objet d’une condamnation, les soupçons pesant sur lui sont par conséquent importants et la commission des infractions qui lui sont reprochées hautement probable. Enfin, la Cour de céans ne peut que constater, comme l’a fait le Tribunal des mesures de contrainte, que c’est avec une grande facilité que le recourant s’est lancé dans une entreprise de brigandage alors qu’il n’en aurait, selon ses dires, pas même ébauché l’idée quelques heures avant les faits. Au vu du jeune âge du recourant, l’accumulation et la gravité des infractions perpétrées se révèlent particulièrement inquiétantes. Le risque de réitération, concret, ne peut dès lors qu’être confirmé.</w:t>
      </w:r>
    </w:p>
    <w:p>
      <w:r>
        <w:rPr>
          <w:b/>
        </w:rPr>
        <w:t>E. 5.1</w:t>
      </w:r>
    </w:p>
    <w:p>
      <w:r>
        <w:t>Afin de pallier le risque de récidive, le recourant propose, à titre subsidiaire, des mesures de substitution en lieu et place de la détention provisoire. Les mesures proposées sont une assignation à demeurer à son domicile, assortie du port d’un bracelet électronique muni d’un GPS, et/ou d’une obligation de suivre le programme de formation du SeMo [...]. Il convient dès lors d’examiner si ces mesures s’avèrent suffisantes et peuvent concrètement être mises sur pied dans le cas d’espèce.</w:t>
      </w:r>
    </w:p>
    <w:p>
      <w:r>
        <w:rPr>
          <w:b/>
        </w:rPr>
        <w:t>E. 5.2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 L'art. 237 al. 3 CPP précise que, pour surveiller l'exécution de ces mesures, le tribunal peut ordonner l'utilisation d'appareils techniques qui peuvent être fixés à la personne sous surveillance. Dans le contexte d'une assignation à résidence liée à une interdiction de périmètre, une surveillance électronique permet de s'assurer que la personne sous surveillance est bien à l'emplacement prescrit aux heures prévues ou, au contraire, de contrôler qu'elle n'est pas à un endroit dont l'accès lui est interdit (TF 1B_108/2018 du 28 mars 2018 consid.</w:t>
      </w:r>
    </w:p>
    <w:p>
      <w:r>
        <w:rPr>
          <w:b/>
        </w:rPr>
        <w:t>E. 5.3</w:t>
      </w:r>
    </w:p>
    <w:p>
      <w:r>
        <w:t>En l’occurrence, les mesures proposées ne sont en l’état pas propres à pallier le risque de réitération constaté. En premier lieu, il apparaît qu’une assignation à résidence avec port d’un bracelet électronique ne serait pas apte à dissuader le recourant de commettre une nouvelle infraction. En effet, une surveillance électronique permet certes de s'assurer que la personne sous surveillance est bien à l'emplacement prescrit aux heures prévues ou, au contraire, de contrôler qu'elle n'est pas à un endroit dont l'accès lui est interdit (ATF 140 IV 19 consid. 2.6). Il n’en reste cependant pas moins que le port d'un bracelet permet uniquement de constater que son porteur a quitté le lieu assigné, mais nullement de suivre sa progression, ce qui ne garantit pas une intervention de la police en temps utile (cf. TF 1B_142/2018 du 5 avril 2018 consid. 2.2). Un contrôle par le biais d’un bracelet électronique ne permet ainsi pas de vérifier en direct les déplacements de la personne concernée. Dans le cas particulier, vu la gravité des actes dont la réitération est redoutée, une simple mesure de contrôle électronique à laquelle il serait facile au recourant d’échapper s’avérerait à l’évidence insuffisante à juguler le risque de passage à l’acte. Ensuite, s’agissant de l’encadrement au SeMo proposé, force est de constater que celui-ci est concrètement impossible à mettre sur pied pendant la prochaine période des vacances scolaires d’été. Quant à l’emploi promis, il est limité à un taux de 50%, ce qui n’occuperait pas suffisamment l’intéressé. Pour le surplus, aucune autre mesure de substitution n’apparaît en l’état suffisante pour contenir le risque de récidive. La question pourra cas échéant être réexaminée ultérieurement.</w:t>
      </w:r>
    </w:p>
    <w:p>
      <w:r>
        <w:rPr>
          <w:b/>
        </w:rPr>
        <w:t>E. 6</w:t>
      </w:r>
    </w:p>
    <w:p>
      <w:r>
        <w:t>En définitive, le recours doit être rejeté et l’ordonnance entreprise confirmée. Le défenseur d’office de J.________ a produit une liste d’opérations définitive (P. 79/2) faisant état d’une activité de 4 heures et 30 minutes. Au vu de la cause, qui n’est en soi pas particulièrement complexe s’agissant d’une question de détention provisoire, la durée alléguée paraît quelque peu excessive. Le temps qu’il était justifié de consacrer à la présente procédure, en comparaison avec d’autres causes semblables, ne saurait ainsi excéder une durée de 3 heures. Dans ces circonstances, il convient de fixer l’indemnité d’office qui doit être allouée à un montant de 540 fr. (3 x 180 fr.), auquel il y a lieu d’ajouter la TVA par 41 fr. 60, soit à 581 fr. 60 au total. Les frais de la procédure de recours, constitués en l’espèce de l’émolument d’arrêt (art. 422 al. 1 CPP), par 1’320 fr. (art. 20 al. 1 TFIP [Tarif des frais de procédure et indemnités en matière pénale du 28 septembre 2010 ; RSV 312.03.1]), et des frais imputables à la défense d’office (art. 422 al. 1 et 2 let. a CPP), par 581 fr. 60, seront mis à la charge du recourant, qui succombe (art. 428 al. 1 CPP). Le remboursement à l’Etat de l’indemnité allouée au défenseur d’office du recourant ne sera toutefois exigible que pour autant que sa situation financière le permette (art. 135 al. 4 CPP). Par ces motifs, la Chambre des recours pénale prononce : I. Le recours est rejeté. II. L’ordonnance du 18 mai 2018 est confirmée. III. L’indemnité allouée au défenseur d’office de J.________ est fixée à 581 fr. 60 (cinq cent huitante et un francs et soixante centimes). IV. Les frais d’arrêt, par 1’320 fr. (mille trois cent vingt francs), ainsi que l’indemnité d’office due au défenseur d’office de J.________, par 581 fr. 60 (cinq cent huitante et un francs et soixante centimes), sont mis à la charge de ce dernier. V. Le remboursement à l’Etat de l’indemnité allouée au chiffre III ci-dessus ne sera exigible que pour autant que la situation financière de J.________ le permette. VI. L’arrêt est exécutoire. Le président :              La greffière : Du Le présent arrêt, dont la rédaction a été approuvée à huis clos, est notifié, par l'envoi d'une copie complète, à : - Me Jean-Lou Maury, avocat (pour J.________),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