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449 vom 8. Juni 2018</w:t>
      </w:r>
    </w:p>
    <w:p>
      <w:r>
        <w:t>VD Tribunal cantonal, 2018-06-08, FR</w:t>
      </w:r>
    </w:p>
    <w:p>
      <w:r>
        <w:rPr>
          <w:b/>
        </w:rPr>
        <w:t xml:space="preserve">Quelle: </w:t>
      </w:r>
      <w:r>
        <w:t>https://mcp.opencaselaw.ch/entscheid/vd_findinfo_D_cision___2018___449</w:t>
      </w:r>
    </w:p>
    <w:p>
      <w:r>
        <w:t>FR: VD_FINDINFO Décision / 2018 / 449 du 8 juin 2018</w:t>
      </w:r>
    </w:p>
    <w:p>
      <w:r>
        <w:t>IT: VD_FINDINFO Décision / 2018 / 449 del 8 giugno 2018</w:t>
      </w:r>
    </w:p>
    <w:p>
      <w:pPr>
        <w:pStyle w:val="Heading2"/>
      </w:pPr>
      <w:r>
        <w:t>Regeste</w:t>
      </w:r>
    </w:p>
    <w:p>
      <w:r>
        <w:t>RISQUE DE RÉCIDIVE, DÉTENTION POUR DES MOTIFS DE SÛRETÉ, PROPORTIONNALITÉ, EXPERTISE PSYCHIATRIQUE | 222 CPP (CH), 229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Aux termes de l’art. 91 al. 1 et 2 CPP, le délai est réputé observé notamment si l’acte écrit est remis au plus tard le dernier jour du délai à la Poste suisse ou à la direction de l’établissement carcéral. La preuve de l’envoi incombe à l’expéditeur. En l’espèce, selon le relevé Track &amp; Trace de la Poste suisse, l’ordonnance attaquée, envoyée sous pli recommandé, a été réceptionnée par le recourant le 15 mai 2018. L’acte de recours, daté du 23 mai 2018, a été envoyé, en courrier B. Il a toutefois été remis à la Poste à une date indéterminée puisque le cachet postal fait défaut. Il a été réceptionné au greffe du Tribunal de céans le 31 mai 2018, soit plus de seize jours après la réception de l’ordonnance litigieuse, ce qui fait naître un doute sur la recevabilité du recours. Cette question peut toutefois demeurer ouverte dès lors que le recours doit de toute façon être rejeté sur le fond, comme on le verra ci-après.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212 al. 3 CPP prévoit que la détention provisoire ne doit pas durer plus longtemps que la peine privative de liberté prévisible.</w:t>
      </w:r>
    </w:p>
    <w:p>
      <w:r>
        <w:rPr>
          <w:b/>
        </w:rPr>
        <w:t>E. 3.1</w:t>
      </w:r>
    </w:p>
    <w:p>
      <w:r>
        <w:t>En l’espèce, Y.________ indique vouloir recouvrer sa liberté après les neuf mois de détention provisoire subis pour avoir donné « un coup de poing dans l’obscurité » (P. 93).</w:t>
      </w:r>
    </w:p>
    <w:p>
      <w:r>
        <w:rPr>
          <w:b/>
        </w:rPr>
        <w:t>E. 3.2</w:t>
      </w:r>
    </w:p>
    <w:p>
      <w:r>
        <w:t>Tout d’abord, il y a lieu de rappeler qu’il ressort de l’instruction – et en dernier lieu de l’acte d’accusation du 3 mai 2018 – qu’Y.________ n’aurait pas seulement « envoyé un coup de poing dans l’obscurité », mais qu’il aurait également planté une fourchette à quatre dents dans le torse de son père avant de le poursuivre et de le frapper au visage et qu’il aurait bouté le feu à l’escalier en bois menant à la caravane de B.________. S’agissant de l’existence de soupçons suffisants, la cour de céans se réfère donc pleinement – selon un procédé admissible au regard des exigences du droit d’être entendu (TF 1B_149/2010 du 1 er juin 2010 consid. 1.3 ; CREP 23 octobre 2012/634) – aux différentes décisions antérieures, et, en particulier, à son arrêt du 9 février 2018 (n° 101) qui reste d’actualité.</w:t>
      </w:r>
    </w:p>
    <w:p>
      <w:r>
        <w:rPr>
          <w:b/>
        </w:rPr>
        <w:t>E. 3.3</w:t>
      </w:r>
    </w:p>
    <w:p>
      <w:r>
        <w:t>Il en va de même s’agissant du risque de réitération, au sujet duquel le seul élément nouveau consiste en un rapport d’expertise psychiatrique déposé le 14 mars 2018. Or, cet élément n’est d’aucun secours au recourant. En effet, les experts ont posé un diagnostic de schizophrénie, ainsi que de dépendance à l’alcool et au cannabis et ils ont préconisé un traitement institutionnel avec un traitement médicamenteux à base de neuroleptiques dans un cadre fermé ou dans une fondation visant spécifiquement le traitement des personnes souffrant de schizophrénie. Ils ont ajouté qu’un traitement ambulatoire n’apparaissait pas adapté au vu du risque de récidive élevé de passage à l’acte et de comportements violents sous consommation d’alcool. En définitive, le risque de réitération est concret et justifie le maintien du recourant en détention provisoire. Aucune mesure de substitution ne serait propre à pallier l’existence de ce risque, le recourant n'en proposant d'ailleurs aucune.</w:t>
      </w:r>
    </w:p>
    <w:p>
      <w:r>
        <w:rPr>
          <w:b/>
        </w:rPr>
        <w:t>E. 3.5</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provisoirement depuis le 31 août 2017. Compte tenu de la gravité des faits qui lui sont reprochés, une prolongation de deux mois, soit jusqu’au 18 juillet 2018, apparaît donc encore proportionnée à la peine à laquelle il s’expose, étant relevé que les débats ont été fixés au 11 juillet 2018. Le principe de la proportionnalité demeure donc respecté.</w:t>
      </w:r>
    </w:p>
    <w:p>
      <w:r>
        <w:rPr>
          <w:b/>
        </w:rPr>
        <w:t>E. 4</w:t>
      </w:r>
    </w:p>
    <w:p>
      <w:r>
        <w:t>Il résulte de ce qui précède que le recours, manifestement mal fondé, doit être rejeté dans la mesure de sa recevabilité, sans échange d’écritures (art. 390 al. 2 CPP), et l’ordonnance attaquée confirmée. Les frais de la procédure de recours, constitués en l’espèce de l’émolument d'arrêt, par 660 fr. (art. 20 al. 1 TFIP [tarif des frais de procédure et indemnités en matière pénale du 28 septembre 2010; RSV 312.03.1]), seront mis à la charge d’Y.________, qui succombe (art. 428 al. 1 CPP). Par ces motifs, la Chambre des recours pénale prononce : I. Le recours est rejeté dans la mesure où il est recevable. II. L’ordonnance du 14 mai 2018 est confirmée. III. Les frais d’arrêt, par 660 fr. (six cent soixante francs), sont mis à la charge d’Y.________. IV. L’arrêt est exécutoire. Le président :               La greffière : Du Le présent arrêt, dont la rédaction a été approuvée à huis clos, est notifié, par l'envoi d'une copie complète, à : - M. Y.________, - Ministère public central, et communiqué à : - Me Sylvie Saint-Marc, avocate (pour Y.________), - Mme la Présidente du Tribunal des mesures de contrainte, - M. le Procureur de l’arrondissement de La Côte, - Me Corinne Arpin, avocate (pour C.________), - Mme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