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439 vom 28. Mai 2018</w:t>
      </w:r>
    </w:p>
    <w:p>
      <w:r>
        <w:t>VD Tribunal cantonal, 2018-05-28, FR</w:t>
      </w:r>
    </w:p>
    <w:p>
      <w:r>
        <w:rPr>
          <w:b/>
        </w:rPr>
        <w:t xml:space="preserve">Quelle: </w:t>
      </w:r>
      <w:r>
        <w:t>https://mcp.opencaselaw.ch/entscheid/vd_findinfo_D_cision___2018___439</w:t>
      </w:r>
    </w:p>
    <w:p>
      <w:r>
        <w:t>FR: VD_FINDINFO Décision / 2018 / 439 du 28 mai 2018</w:t>
      </w:r>
    </w:p>
    <w:p>
      <w:r>
        <w:t>IT: VD_FINDINFO Décision / 2018 / 439 del 28 maggio 2018</w:t>
      </w:r>
    </w:p>
    <w:p>
      <w:pPr>
        <w:pStyle w:val="Heading2"/>
      </w:pPr>
      <w:r>
        <w:t>Regeste</w:t>
      </w:r>
    </w:p>
    <w:p>
      <w:r>
        <w:t>RÉCUSATION, ORDONNANCE PÉNALE, VOIE DE DROIT | 354 CPP (CH), 56 CPP (CH)</w:t>
      </w:r>
    </w:p>
    <w:p>
      <w:pPr>
        <w:pStyle w:val="Heading2"/>
      </w:pPr>
      <w:r>
        <w:t>Erwägungen</w:t>
      </w:r>
    </w:p>
    <w:p>
      <w:r>
        <w:rPr>
          <w:b/>
        </w:rPr>
        <w:t>E. 1.1</w:t>
      </w:r>
    </w:p>
    <w:p>
      <w:r>
        <w:t>Dans un premier moyen, X.________ présente une requête de récusation.</w:t>
      </w:r>
    </w:p>
    <w:p>
      <w:r>
        <w:rPr>
          <w:b/>
        </w:rPr>
        <w:t>E. 1.2</w:t>
      </w:r>
    </w:p>
    <w:p>
      <w:r>
        <w:t>Selon l'art. 58 CPP (Code de procédure pénale suisse du 5 octobre 2007; RS 312.0), lorsqu'une partie entend demander la récusation d'une personne qui exerce une fonction au sein d'une autorité pénale, elle doit présenter sans délai à la direction de la procédure une demande dans ce sens, dès qu'elle a connaissance du motif de récusation; les faits sur lesquels elle fonde sa demande doivent être rendus plausibles (al. 1). 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L'autorité de recours est, dans le canton de Vaud, la Chambre des recours pénale du Tribunal cantonal (art. 13 LVCPP [Loi d’introduction du Code de procédure pénale suisse du 19 mai 2009 ; RSV 312.01] ; art. 80 LOJV [Loi d’organisation judiciaire du 12 décembre 1979 ; RSV 173.01]). L'art. 56 let. a à f CPP énonce divers motifs de récusation qualifiés à l'égard de toute personne exerçant une fonction au sein d’une autorité pénale. Pour sa part, sa lettre f impose la récusation du fonctionnaire ou du magistrat concerné, lorsque d'autres motifs, notamment un rapport d'amitié étroit ou d'inimitié avec une partie ou son conseil juridique, sont de nature à le rendre suspect de prévention. L'art. 56 let. f CPP a la portée d'une clause générale recouvrant tous les motifs de récusation non expressément prévus aux lettres précédentes.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dont la situation ou le comportement est de nature à faire naître un doute sur son impartialité.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et les réf. cit.).</w:t>
      </w:r>
    </w:p>
    <w:p>
      <w:r>
        <w:rPr>
          <w:b/>
        </w:rPr>
        <w:t>E. 1.3</w:t>
      </w:r>
    </w:p>
    <w:p>
      <w:r>
        <w:t>Le requérant soutient en substance que sa condamnation du 16 février 2018 résulterait de la "complicité" entre la partie plaignante [...] et les "magistrats vaudois interconnectés". Il indique que sa récusation présentée dans son recours du 5 janvier 2018 est toujours valable. On peut douter que la demande de récusation faite par référence à une autre demande soit recevable, car elle ne contient – en elle-même – aucun fait ni aucun motif (cf art. 58 et 59 CPP), ni le magistrat récusé. En tout état de cause, la demande de récusation du 5 janvier 2018 a été examinée et a fait l'objet d'un arrêt de la Chambre des recours pénale (CREP 12 février 2018/107). A sa lecture, on comprend que le requérant sollicitait la récusation des membres de la Cour d'appel pénale et celle, en bloc, de tous les magistrats vaudois. Le requérant n'a dès lors aucun intérêt légitime à ce qu'il soit statué une nouvelle fois sur la demande du 5 janvier 2018. En tant qu'il dépose une nouvelle demande de récusation aux griefs identiques à la précédente, celle-ci est abusive et irrecevable (cf. notamment TF 1B_278/2017 du 2 août 2017 consid. 3).</w:t>
      </w:r>
    </w:p>
    <w:p>
      <w:r>
        <w:rPr>
          <w:b/>
        </w:rPr>
        <w:t>E. 2.1</w:t>
      </w:r>
    </w:p>
    <w:p>
      <w:r>
        <w:t>X.________ demande "l'annulation pure et simple" de l'ordonnance pénale.</w:t>
      </w:r>
    </w:p>
    <w:p>
      <w:r>
        <w:rPr>
          <w:b/>
        </w:rPr>
        <w:t>E. 2.2</w:t>
      </w:r>
    </w:p>
    <w:p>
      <w:r>
        <w:t>Aux termes de l’art. 393 al. 1 CPP, le recours est recevable contre les décisions et les actes de procédure de la police, du ministère public et des autorités pénales compétentes en matière de contraventions (let. a), contre les ordonnances, les décisions et les actes de procédure des tribunaux de première instance, sauf contre ceux de la direction de la procédure (let. b), et contre les décisions du tribunal des mesures de contrainte, dans les cas prévus par le présent code (let. c). La liste des décisions susceptibles de recours au sens de l’art. 393 al. 1 let. a CPP est exhaustive (Schmid, Schweizerische Strafprozessordnung, 2e éd., 2013, n. 4 ad art. 393 CPP, p. 766). L’ordonnance pénale n’y figure pas. La voie du recours n’est ainsi pas ouverte contre l’ordonnance pénale, qui ne peut être remise en cause qu’au moyen de l’opposition de l’art. 354 CPP (Schmid, op. cit., n. 1 ad art. 354 CPP ; Guidon, in : Niggli/Heer/Wiprächtiger (éd.), Basler Kommentar, Schweizerische Strafprozessordnung, Jugendstrafprozessordnung, 2e éd., Bâle 2014, n. 11 ad art. 393 CPP, p. 2951 ; Gilliéron/Killias, in : Kuhn/Jeanneret [éd.], Commentaire romand, Code de procédure pénale suisse, Bâle 2011, n. 1 ad art. 354 CPP, p. 1579).</w:t>
      </w:r>
    </w:p>
    <w:p>
      <w:r>
        <w:rPr>
          <w:b/>
        </w:rPr>
        <w:t>E. 2.3</w:t>
      </w:r>
    </w:p>
    <w:p>
      <w:r>
        <w:t>Le recourant déclare recourir à la « Chambre d’appel pénale » contre l’ordonnance rendue par le Procureur [...] le 16 février 2018. Toutefois, il n’y a aucun recours ouvert à la Chambre des recours pénale contre une ordonnance pénale. Il n’y a pas non plus d’appel à la Cour d’appel pénale contre une telle ordonnance. En tant qu’il conteste une ordonnance pénale, l’acte de X.________ doit être interprété comme une opposition, qui aurait dû être adressée au Ministère public (art. 354 CPP).</w:t>
      </w:r>
    </w:p>
    <w:p>
      <w:r>
        <w:rPr>
          <w:b/>
        </w:rPr>
        <w:t>E. 3</w:t>
      </w:r>
    </w:p>
    <w:p>
      <w:r>
        <w:t>Pour le surplus, il est pris acte que le recourant ne conteste pas que l’avocat [...] ait été relevé de sa mission de défenseur d’office. L’acte de recours ne concerne donc pas la révocation du défenseur d’office au sens de l’art. 134 al. 2 CPP.</w:t>
      </w:r>
    </w:p>
    <w:p>
      <w:r>
        <w:rPr>
          <w:b/>
        </w:rPr>
        <w:t>E. 4</w:t>
      </w:r>
    </w:p>
    <w:p>
      <w:r>
        <w:t>Il résulte de ce qui précède que la demande de récusation est irrecevable et que l'opposition formée à l'encontre de l'ordonnance pénale sera transmise au Ministère public central, division criminalité économique pour qu’il procède conformément à l’art. 355 CPP. Dès lors, les frais de la procédure de recours, constitués en l'espèce du seul émolument d’arrêt, par 550 fr. (art. 20 al. 1 TFIP [Tarif des frais de procédure et indemnités en matière pénale du 28 septembre 2010; RSV 312.03.1]), sont mis par moitié à la charge de X.________ (art. 59 al. 4 CPP), le solde étant laissé à la charge de l'Etat (art. 423 al. 1 CPP). Par ces motifs, la Chambre des recours pénale prononce : I. La demande de récusation est irrecevable. II. L’acte déposé par X.________ le 2 mars 2018 est transmis au Ministère public central, division criminalité économique pour qu’il procède conformément à l’art. 355 CPP. III. Les frais d'arrêt, par 550 fr. (cinq cent cinquante francs), sont mis à hauteur de 275 fr. (deux cent septante-cinq francs) à la charge de X.________, le solde, par 275 fr. (deux cent septante-cinq francs) étant laissé à la charge de l’Etat. IV. L’arrêt est exécutoire. Le président :               La greffière: Du Le présent arrêt, dont la rédaction a été approuvée à huis clos, est notifié, par l'envoi d'une copie complète, à : - X.________, - M. [...], - Ministère public central, et communiqué à : - M. le Procureur du Ministère public central, division criminalité économique, - Me Georges Reymond,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