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402 vom 8. Mai 2018</w:t>
      </w:r>
    </w:p>
    <w:p>
      <w:r>
        <w:t>VD Tribunal cantonal, 2018-05-08, FR</w:t>
      </w:r>
    </w:p>
    <w:p>
      <w:r>
        <w:rPr>
          <w:b/>
        </w:rPr>
        <w:t xml:space="preserve">Quelle: </w:t>
      </w:r>
      <w:r>
        <w:t>https://mcp.opencaselaw.ch/entscheid/vd_findinfo_D_cision___2018___402</w:t>
      </w:r>
    </w:p>
    <w:p>
      <w:r>
        <w:t>FR: VD_FINDINFO Décision / 2018 / 402 du 8 mai 2018</w:t>
      </w:r>
    </w:p>
    <w:p>
      <w:r>
        <w:t>IT: VD_FINDINFO Décision / 2018 / 402 del 8 maggio 2018</w:t>
      </w:r>
    </w:p>
    <w:p>
      <w:pPr>
        <w:pStyle w:val="Heading2"/>
      </w:pPr>
      <w:r>
        <w:t>Regeste</w:t>
      </w:r>
    </w:p>
    <w:p>
      <w:r>
        <w:t>NON-LIEU, GESTION DE FORTUNE, GESTION DÉLOYALE |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quant à la qualité pour agir de T.________, il doit, avant toute autre considération, être relevé qu’aucun élément au dossier ne permet de retenir que le prévenu aurait, à quelque moment que ce soit, procédé à des attributions tardives dans la gestion des avoirs de X.________ à l’exclusion de ceux du plaignant, respectivement de feu sa mère. En effet, les mandats de gestion conférés au prévenu étaient analogues. C’est donc à tort, s’agissant de consorts, que l’ordonnance attaquée a été notifiée à l’adresse de Me Reymond uniquement en sa qualité de conseil de X.________ en dépit de la demande expresse de T.________ (P. 265, déjà mentionnée). Le plaignant a donc la qualité pour recourir (art. 382 al. 1 CPP) à l’instar de la plaignante. Interjeté dans le délai légal et dans les formes prescrites (art. 385 al. 1 CPP) auprès de l’autorité compétente, le recours est ainsi recevable. Les pièces nouvelles produites à l’appui du recours sont recevables (CREP 27 juin 2017/408 consid. 1, et les références citées).</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2.2</w:t>
      </w:r>
    </w:p>
    <w:p>
      <w:r>
        <w:t>L'art. 158 CP (Code pénal; RS 311.0)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l’infraction suppo­se la réalisation de trois conditions : il faut que l'auteur ait eu un devoir de gestion ou de sauvegarde, qu'il ait violé une obligation lui revenant en cette qualité et qu'il en soit résulté un dommage. Sur le plan subjectif, il faut que l’auteur ait agi intention­nelle­ment (Corboz, Les infractions en droit suisse, vol. I, 3 e éd., Berne 2010, n. 13 ad art. 158 CP). Le comportement délictueux consiste à violer les devoirs inhérents à la qualité de gérant (ATF 129 IV 124   consid. 3.1). Le gérant de fortune constitue un exemple type de gérant au sens de l'art. 158 CP. 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pas effectuer des mouvements dans le portefeuille du client qui ne se justifient nullement au vu des intérêts de celui-ci, mais qui ont pour unique but de fonder des commissions, ce que la pratique qualifie de « churning » ou barattage (cf. ci-dessus, let. A.a). Un tel procédé, qui porte gravement atteinte aux intérêts du client, a été considéré comme tombant sous le coup de l'art. 158 CP (ATF 142 IV 346 consid. 3.3, JdT 2017 IV 224). La jurisprudence a eu en outre l’occasion de préciser que tombait sous le coup de la gestion déloyale le comportement de celui qui, sans se livrer à du barattage, occasionne un nombre indésirable d’opérations dont il résulte des commissions disproportionnées par rapport au capital investi. Pour juger de la disproportion, il faut appliquer le taux appliqué aux taux habituellement applicables qui se situent entre 0,3 à 1 % du capital investi ou entre 7 et 15 % du bénéfice (ATF 142 IV 346 déjà cité, consid. 4.2, JdT 2017 IV 224).</w:t>
      </w:r>
    </w:p>
    <w:p>
      <w:r>
        <w:rPr>
          <w:b/>
        </w:rPr>
        <w:t>E. 2.3</w:t>
      </w:r>
    </w:p>
    <w:p>
      <w:r>
        <w:t>Il est incontesté que les attributions tardives constituent une violation du principe de meilleure exécution possible des ordres consacré à l’art. 11 al. 1 let. b LBVM (Loi fédérale sur les bourses et le commerce des valeurs mobilières; RS 954.1). Le gérant de fortune qui se livre à une telle opération agit donc en violation de ses devoirs au sens de l’art. 158 CP. Encore faut-il, pour que l’acte tombe sous le coup de cette disposition, que les autres éléments constitutifs de la gestion déloyale soient réalisés, s’agissant en particulier de l’atteinte portée aux intérêts pécuniaires de l’investisseur (gestion déloyale simple), respectivement du dessein cumulatif de l'auteur de se procurer ou de procurer à un tiers un enrichissement illégitime (gestion déloyale aggravée ou qualifiée). On parle alors également d’attributions « orientées » ou « dirigées » (cf. TF 6B_67/2011 du 20 septembre 2011).</w:t>
      </w:r>
    </w:p>
    <w:p>
      <w:r>
        <w:rPr>
          <w:b/>
        </w:rPr>
        <w:t>E. 3.1</w:t>
      </w:r>
    </w:p>
    <w:p>
      <w:r>
        <w:t>En l’espèce, le Ministère public considère, en se fondant sur le rapport d’expertise privée déposé par la plaignante, qu’il n’y a pas de soupçons suffisants d’attributions tardives contre le prévenu en dehors de la période de septembre à novembre 2008, ce qui serait un motif de non-entrée en matière sur les autres périodes visées par la plainte complémentaire du 10 juillet 2017. En outre, dans la mesure où de telles opérations seraient susceptibles de relever exclusivement de la gestion déloyale, il ne serait pas possible de distinguer un acte intentionnel d’une simple négligence, ce qui justifierait également la non-entrée en matière partielle. Il n’y aurait enfin, toujours selon le Procureur, pas de dessein d’enrichissement illégitime du prévenu, de sorte que l’infraction de gestion déloyale ne pourrait en aucun cas être retenue en sa forme qualifiée. Il en découlerait que le délai de prescription de l’action pénale serait alors de sept ans en appliquant la lex mitior et que les actes commis avant le 15 décembre 2010 seraient d’ores et déjà prescrits sous l’angle de la gestion déloyale simple. Quant aux actes remontant à la période du 16 décembre 2010 au 29 juillet 2011, ils seraient intégralement prescrits le 29 juillet 2018. Or, comme il serait impossible d’instruire des faits d’une telle complexité et de juger le prévenu avant cette date, les chances d’obtenir une condamnation seraient quasi-nulles, ce qui constituerait un autre motif encore en faveur de la non-entrée en matière partielle. Les recourants rappellent que le questionnaire adressé aux experts désignés par le Ministère public porte également sur d’éventuelles attributions tardives non limitées à une période déterminée.</w:t>
      </w:r>
    </w:p>
    <w:p>
      <w:r>
        <w:rPr>
          <w:b/>
        </w:rPr>
        <w:t>E. 3.2</w:t>
      </w:r>
    </w:p>
    <w:p>
      <w:r>
        <w:t>L’ordonnance attaquée procède, de fait, d’une appréciation anticipée des preuves. En effet, alors qu’une expertise portant sur des questions complexes est mise en œuvre, le Procureur préjuge du résultat de cette mesure d’instruction en excluant par avance toutes attributions tardives en dehors de la période restreinte à trois mois faisant l’objet de l’extension de l’instruction. Dès lors que les experts commis par la direction de la procédure ont été invités à examiner la question des éventuelles attributions tardives pour toute la période litigieuse, soit du 12 novembre 2004 au 29 juillet 2011, le Procureur ne saurait affirmer péremptoirement que ces agissements imputés au prévenu par la plaignante ne peuvent qu’être limités aux mois de septembre à novembre 2008, motif pris que l’experte privée a constaté que ceux-ci apparaissaient surtout durant cette période. S’agissant de la prescription, les motifs de l’ordonnance n’emportent pas davantage la conviction. En effet, il paraît difficile, sinon prématuré, d’exclure tout dessein d’enrichissement illégitime du prévenu en relation avec d’éventuelles attributions tardives également en dehors de la période visée par l’extension de l’enquête, dès lors qu’à partir du moment où il serait établi que le gestionnaire de fortune aurait favorisé d’autres clients au détriment de la recourante, il ne pourrait guère avoir agi pour un autre motif. A tout le moins incombe-t-il aux experts de se prononcer sur les faits déterminants à cet égard avant toute autre appréciation. On ne peut dès lors pas, à ce stade de la procédure, exclure la gestion déloyale aggravée ou qualifiée. Or le délai de prescription applicable à ce crime, passible d’une peine privative de liberté de cinq ans au plus, est de quinze ans et non de sept (art. 97 al. 1 let. b CP, dans sa teneur en vigueur depuis le 1 er janvier 2014). Sous l’angle de la lex mitior , la Cour rappellera que la modification de l’art. 97 al. 1 let. b CP par la novelle du 21 juin 2013 (Prorogation des délais de prescription; RO 2013 p. 4417; FF 2012 p. 8533) est d’ordre purement rédactionnel. Il n’y a donc pas, en l’état, de motif de limiter les investigations à la période du 1 er septembre au 30 novembre 2008 pour ce qui est des attributions tardives dont les recourants font grief au prévenu. Les conditions d’une non-entrée en matière partielle ne sont ainsi pas réalisées. Bien plutôt, il appartient au Ministère public d’étendre l’instruction à toute la période litigieuse, soit du 12 novembre 2004 au 29 juillet 2011.</w:t>
      </w:r>
    </w:p>
    <w:p>
      <w:r>
        <w:rPr>
          <w:b/>
        </w:rPr>
        <w:t>E. 4</w:t>
      </w:r>
    </w:p>
    <w:p>
      <w:r>
        <w:t>En définitive, le recours doit être admis, l’ordonnance attaquée annulée et le dossier de la cause renvoyé au Ministère public pour qu’il procède dans le sens de considérants qui précèdent. Vu l’issue de la cause, les frais de la procédure de recours, constitués en l'espèce du seul émolument d'arrêt, par 1’100 fr. (art. 422 al. 1 CPP et 20 al. 1 TFIP [tarif des frais de procédure et indemnités en matière pénale du 28 septembre 2010; RSV 312.03.1]), seront mis à la charge de K.________, qui succombe dès lors qu’il a conclu au rejet du recours (art. 428 al. 1 CPP). Les recourants, qui ont procédé avec l’assistance d’avocats de choix et qui ont obtenu gain de cause, ont droit à une indemnité pour les dépenses occasionnées par la procédure de recours, solidairement entre eux, à la charge de l’intimé (art. 433 al. 1 CPP). Cette indemnité sera fixée à 1'200 fr., pour quatre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 er mars 2017/904) –, par 96 fr., soit à 1'296 fr. au total. Par ces motifs, la Chambre des recours pénale prononce : I. Le recours est admis. II. L’ordonnance du 14 décembre 2017 est annulée. III. Le dossier de la cause est renvoyé au Ministère public central, division criminalité économique, pour qu’il procède dans le sens des considérants. IV. Les frais d’arrêt, par 1’100 fr. (mille cent francs), sont mis à la charge de K.________. V. Une indemnité de 1'296 fr. (mille deux cent nonante-six francs) est allouée à X.________ et T.________, créanciers solidaires, pour les dépenses occasionnées par la procédure de recours, à la charge de K.________. VI. L’arrêt est exécutoire. Le président :               Le greffier : Du Le présent arrêt, dont la rédaction a été approuvée à huis clos, est notifié, par l'envoi d'une copie complète, à : - Mes Philippe Reymond et Laurent Pfeiffer, avocats (pour X.________ et T.________), - Me Robert Fox, avocat (pour K.________),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