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38 vom 24. Oktober 2017</w:t>
      </w:r>
    </w:p>
    <w:p>
      <w:r>
        <w:t>VD Tribunal cantonal, 2017-10-24, FR</w:t>
      </w:r>
    </w:p>
    <w:p>
      <w:r>
        <w:rPr>
          <w:b/>
        </w:rPr>
        <w:t xml:space="preserve">Quelle: </w:t>
      </w:r>
      <w:r>
        <w:t>https://mcp.opencaselaw.ch/entscheid/vd_findinfo_D_cision___2018___38</w:t>
      </w:r>
    </w:p>
    <w:p>
      <w:r>
        <w:t>FR: VD_FINDINFO Décision / 2018 / 38 du 24 octobre 2017</w:t>
      </w:r>
    </w:p>
    <w:p>
      <w:r>
        <w:t>IT: VD_FINDINFO Décision / 2018 / 38 del 24 ottobre 2017</w:t>
      </w:r>
    </w:p>
    <w:p>
      <w:pPr>
        <w:pStyle w:val="Heading2"/>
      </w:pPr>
      <w:r>
        <w:t>Regeste</w:t>
      </w:r>
    </w:p>
    <w:p>
      <w:r>
        <w:t>CLASSEMENT DE LA PROCÉDURE, DOMMAGES À LA PROPRIÉTÉ{DROIT PÉNAL}, ENTRAVE AUX SERVICES D'INTÉRÊT GÉNÉRAL | 144 al. 1 CP, 239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ATF 116 IV 145; Dupuis et al., Petit commentaire CP, 2 e éd., Bâle 2017, n. 16 ad art. 144 CP et les références citées).</w:t>
      </w:r>
    </w:p>
    <w:p>
      <w:r>
        <w:rPr>
          <w:b/>
        </w:rPr>
        <w:t>E. 3.2</w:t>
      </w:r>
    </w:p>
    <w:p>
      <w:r>
        <w:t>Se rend coupable d’entrave aux services d’intérêt général, au sens de l’art. 239 ch. 1 et 2 CP, celui qui, intentionnellement ou par négligence, aura empêché, troublé ou mis en danger l’exploitation d’une entreprise publique de transports ou de communications, notamment celle des chemins de fer, des postes, du télégraphe ou du téléphone, ou celui qui, intentionnellement ou par négigence, aura empêché, troublé ou mis en danger l’exploitation d’un établissement ou d’une installation servant à distribuer au public l’eau, la lumière, l’énergie ou la chaleur. Les éléments constitutifs objectifs de l’infraction sont un service d’intérêt général et une entrave à l’exploitation (Corboz, Les infractions en droit suisse, vol. II, 3 e éd., Berne 2010, pp. 167 ss). L’installation qui sert à distribuer l’électricité est un service d’intérêt général (Corboz, op. cit., n. 9 ad art. 239 CP, p. 169 ; Dupuis et al., op. cit., n. 9 ad art. 239 CP, p. 1507 ; ATF 102 II 85 consid. 4b). Quant au comportement typique, il consiste à paralyser momentanément le service, entraver sa marche normale ou créer une situation faisant redouter une paralysie ou une entrave (Corboz, op. cit., p. 169). Il présuppose en outre, pour éviter les cas bagatelles, qui ne devraient pas être réprimés par cette disposition, que la perturbation s’étende sur une certaine durée, touche plus d’un usager et produise des effets sensibles (ATF 116 IV 44, JdT 1991 IV 137 ; Dupuis et al., op. cit., n. 13 ad art. 239 CP, p. 1508). D’un point de vue subjectif, l’infraction peut être commise intentionnellement ou par négligence.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Pour dire si l’auteur a violé les règles de prudence, on peut se référer aux éventuelles dispositions de sécurité applicables (Corboz, op. cit., n. 17 ad art. 239 CP, p. 170, et la référence citée). En second lieu, la violation du devoir de prudence doit être fautive, c'est-à-dire qu'il faut pouvoir reprocher à l'auteur une inattention ou un manque d'effort blâmable (ATF 135 IV 56 consid. 2.1 p. 64; ATF 134 IV 255 consid. 4.2.3 p. 262 et les références citées).</w:t>
      </w:r>
    </w:p>
    <w:p>
      <w:r>
        <w:rPr>
          <w:b/>
        </w:rPr>
        <w:t>E. 3.3</w:t>
      </w:r>
    </w:p>
    <w:p>
      <w:r>
        <w:t>En l’espèce, les travaux exécutés par les ouvriers de Q.________ SA ont occasionné la coupure de la fourniture d’énergie électrique à plusieurs reprises. Ces coupures, dont l’une a duré près de deux heures, a touché jusqu’à 461 bâtiments. Il ne saurait dès lors s’agir de cas bagatelles. En outre, divers câbles et une conduite ont été endommagés lors des travaux en cause. Il y a lieu d’admettre, dans ces circonstances, que les éléments constitutifs objectifs des infractions envisagées sont réalisés. Il reste à examiner si tel est également le cas de l’élément subjectif. S’agissant tout d’abord de l’intention, il n’existe aucun indice tendant à démontrer que les ouvriers de la société intimée auraient volontairement endommagé, fût-ce par dol éventuel (cf. art. 12 al. 2, 2 e phrase CP), le réseau souterrain de distribution d’énergie électrique de la ville. La recourante ne semble d’ailleurs pas contester l’ordonnance attaquée sur ce point, mais soutient que les dégâts constatés pourraient avoir été commis par négligence, ce qui exclut l’infraction de dommages à la propriété (cf. consid. 3.1 supra). A cet égard, il résulte du dossier que toute entreprise ou personne qui entend réaliser des fouilles doit obtenir un permis et se procurer des plans des canalisations situées dans la zone de fouille. Ne doivent pas être utilisés des plans émis plus de dix jours avant les fouilles. Il est par ailleurs nécessaire de procéder par sondage pour déterminer l’emplacement et la profondeur exacts du réseau. Lors de son audition en qualité de personne appelée à donner des renseignements, l’ingénieur civil F.________, de Q.________ SA, a expliqué qu’avant le début du chantier, les plans du réseau avaient été obtenus sur le site Internet [...]. Il a précisé que ces plans n’étaient pas suffisamment précis et que certains d’entre eux, au moment des travaux, n’étaient plus à jour. Il a produit une copie d’un plan prélevé sur le site précité, plan qui apparaît effectivement assez sommaire. Comme ce plan était de peu d’utilité, il avait adressé par oral au [...] une demande tendant à l’obtention d’un plan plus précis. Cette demande était toutefois demeurée sans résultat. Il a par ailleurs relevé qu’il avait fallu refaire des fouilles pour dévier des câbles et des conduites existantes, ajoutant que l’un des câbles qui avait été endommagé ne figurait pas au bon endroit sur le plan. L’ingénieur a évoqué un manque de coordination générale entre les différents services concernés (eau, gaz, électricité, téléphone) (PV aud. 1, pp. 2-3). L’ingénieur a également expliqué que tous les ouvriers de Q.________ SA, y compris les temporaires, suivaient une journée de formation sur la sécurité sur les chantiers (stabilité de fouille, échafaudages, signalisation, circulation, câbles et échelles) (PV aud. 1, p. 7). Enfin, il a produit des photographies prises sur le chantier, lesquelles démontrent la complexité des montages de câbles et l’état de certains d’entre eux. La recourante ne discute pas les observations faites par l’ingénieur lors de son audition, ne confirme ni n’infirme les allégations quant à la précision des plans et à la complexité de certains sites, et ne se détermine pas sur des éventuelles lacunes de coordination entre les différents services concernés. Au vu de ce qui précède, il n’y a pas suffisamment d’éléments suggérant que les ouvriers auraient dépassé les limites du risque admissible et qu’ils auraient violé leur devoir de prudence d’une manière qui serait imputable à faute. En l’absence de négligence, l’infraction d’entrave aux services d’intérêt général n’est pas réalisée. C’est par conséquent à bon droit que le Ministère public a rendu une ordonnance de non-entrée en matière.</w:t>
      </w:r>
    </w:p>
    <w:p>
      <w:r>
        <w:rPr>
          <w:b/>
        </w:rPr>
        <w:t>E. 4</w:t>
      </w:r>
    </w:p>
    <w:p>
      <w:r>
        <w:t>En définitive, le recours, manifestement mal fondé, doit être rejeté sans autre échange d’écritures (art. 390 al. 2 CPP) et l’ordonnance du 14 août 2017 confirmée. Les frais de la procédure de recours, constitués en l’espèce du seul émolument d’arrêt, par 880 fr., (art. 20 al. 1 TFIP [tarif des frais de procédure et indemnités en matière pénale du 29 septembre 2010; RSV 312.03.1), seront mis à la charge de la recourante, qui succombe (art. 428 al. 1 CPP). Par ces motifs, la Chambre des recours pénale prononce : I. Le recours est rejeté II. L’ordonnance du 14 août 2017 est confirmée. III. Les frais d’arrêt, par 880 fr. (hui cent huitante francs), sont mis à la charge de la Direction des Z.________. IV. L’arrêt est exécutoire. Le président :               Le greffier : Du Le présent arrêt, dont la rédaction a été approuvée à huis clos, est notifié, par l'envoi d'une copie complète, à : - Direction des Z.________, - Ministère public central, et communiqué à : - Q.________ SA, - Service juridique de la Commune de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