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344 vom 11. Mai 2018</w:t>
      </w:r>
    </w:p>
    <w:p>
      <w:r>
        <w:t>VD Tribunal cantonal, 2018-05-11, FR</w:t>
      </w:r>
    </w:p>
    <w:p>
      <w:r>
        <w:rPr>
          <w:b/>
        </w:rPr>
        <w:t xml:space="preserve">Quelle: </w:t>
      </w:r>
      <w:r>
        <w:t>https://mcp.opencaselaw.ch/entscheid/vd_findinfo_D_cision___2018___344</w:t>
      </w:r>
    </w:p>
    <w:p>
      <w:r>
        <w:t>FR: VD_FINDINFO Décision / 2018 / 344 du 11 mai 2018</w:t>
      </w:r>
    </w:p>
    <w:p>
      <w:r>
        <w:t>IT: VD_FINDINFO Décision / 2018 / 344 del 11 maggio 2018</w:t>
      </w:r>
    </w:p>
    <w:p>
      <w:pPr>
        <w:pStyle w:val="Heading2"/>
      </w:pPr>
      <w:r>
        <w:t>Regeste</w:t>
      </w:r>
    </w:p>
    <w:p>
      <w:r>
        <w:t>ORDONNANCE DE SÉQUESTRE, VÉHICULE, VIOLATION DES RÈGLES DE LA CIRCULATION, EXCÈS DE VITESSE | 69 CP, 90a LCR, 263 al. 1 let. d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 Lembo/Julen Berthod, in : Kuhn/Jeanneret [éd.], Commentaire romand, Code de procédure pénale suisse, Bâle 2011, n. 4 ad art. 267 CPP ; CREP 13 mars 2015/188 ; CREP 19 février 2015/51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dans le délai légal auprès de l’autorité compétente par le prévenu, qui a qualité pour recourir (art. 382 al. 1 CPP), et dans les formes prescrites (art. 385 al. 1 CPP), de sorte qu’il est recevable.</w:t>
      </w:r>
    </w:p>
    <w:p>
      <w:r>
        <w:rPr>
          <w:b/>
        </w:rPr>
        <w:t>E. 2.1</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ou, en matière d’infractions routières, art. 90a LCR [cf. TF 1B_252/2014 du 3 novembre 2014 consid. 2.4]), de leur origine ou de leur utilisation criminelle (art. 70 et 72 CP) pour autant que l'on puisse admettre, prima facie , qu'ils pourront être confisqués en application du droit fédéral (Lembo/Julen Berthod, in : Kuhn/Jeanneret [éd.], op. cit., n. 7 ad art. 263 CPP).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 ATF 139 IV 250 consid. 2.3.3, JdT 2014 IV 89 ; TF 1B_275/2013 du 28 octobre 2013 consid. 2.3.3 ; JdT 2015 III 104). A cet égard, l’art. 90 al. 3 LCR dispose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d LCR, l’art. 90 al. 3 LCR est toujours applicable lorsque la vitesse maximale autorisée a été dépassée d’au moins 80 km/h, là où la limite était fixée à plus de 80 km/h. Une éventuelle confiscation ne se limite toutefois pas aux cas de l’art. 90 al. 3 et</w:t>
      </w:r>
    </w:p>
    <w:p>
      <w:r>
        <w:rPr>
          <w:b/>
        </w:rPr>
        <w:t>E. 2.3</w:t>
      </w:r>
    </w:p>
    <w:p>
      <w:r>
        <w:t>Le séquestre pénal est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(ATF 139 IV 250 précité consid. 2.1 ; 137 IV 145 consid. 6.4 et les références citées ; TF 1B_127/2013 du 1 er mai 2013 consid. 2). L'autorité doit pouvoir décider rapidement du séquestre provisoire (cf. art. 263 al. 2 CPP), ce qui exclut qu'elle résolve des questions juridiques complexes ou qu'elle attende d'être renseignée de manière exacte et complète sur les faits avant d'agir (ATF 116 Ib 96 consid. 3a). Ainsi, la réalisation des conditions du séquestre doit être régulièrement vérifiée par l'autorité compétente, avec une plus grande rigueur à mesure que l'enquête progresse (ATF 122 IV 91 consid. 4). 3. En l’occurrence, le Procureur n’a pas fondé son ordonnance sur l'art. 90a LCR, mais uniquement sur l'art. 69 CP. 3.1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JdT 2012 IV 205). La question de savoir si l'art. 90a LCR - en tant que lex specialis - exclut désormais l'application de la norme générale que constitue l'art. 69 CP n'a pas encore été tranchée par la jurisprudence de manière approfondie (ATF 140 IV 133 précité consid. 3.1 ; TF 1B_252/2014 du 3 novembre 2014 consid. 2.4). Sans prendre position de manière définitive, la doctrine affirme essentiellement que la norme spéciale vise à préciser les règles applicables à la confiscation de véhicules automobiles, les principes dégagés de l'art.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 Dupuis et al. [éd.], Petit commentaire, Code pénal, 2 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1B_252/2014 du 3 novembre 2014 consid. 2.4 et les références citées ; 1B_127/2013 du 1 er mai 2013 consid. 2.2 ; voir également TF 1B_389/2014 du 18 février 2015 consid. 6). 3.2 S’il reconnait avoir exceptionnellement conduit le 22 mars 2018, le recourant conteste toutefois être l’auteur de l'excès de vitesse commis le 5 février 2018 et nie avoir été sous l'influence du cannabis le 22 mars 2018, même s'il admet en consommer. Il n'en reste pas moins qu'à ce stade, où la vraisemblance est suffisante, le recourant demeure soupçonné d'avoir commis les infractions qui lui sont reprochées. Il est également établi que ses antécédents sont graves et très récents, et que les faits nouveaux ne sauraient être qualifiés d'incident isolé dans le parcours de l'intéressé. Dès lors, force est de considérer que le prévenu met en danger – à tout le moins sur un plan abstrait – la sécurité publique en continuant de disposer de son véhicule sur territoire suisse. L’important excès de vitesse qui lui est reproché, même s'il ne tombe pas sous le coup de l'art. 90 al. 3 et 4 LCR, la prise de cannabis avant de conduire et la persistance à prendre le volant malgré une interdiction sont des éléments inquiétants, d'autant plus que le recourant a déjà fait l'objet d'une lourde condamnation pour un délit de chauffard en janvier 2018 et au volant de la même voiture que celle en cause dans la présente procédure. Dès lors, il n’apparaît pas d’emblée manifeste et indubitable que les conditions matérielles d’une confiscation ultérieure du véhicule concerné seraient exclues (cf. TF 1B_389/2014 du 18 février 2015 consid. 6). Ainsi, qu’il soit fondé sur l'art. 90a LCR ou sur l'art. 69 CP, le séquestre demeure justifié en l'état de l'instruction.</w:t>
      </w:r>
    </w:p>
    <w:p>
      <w:r>
        <w:rPr>
          <w:b/>
        </w:rPr>
        <w:t>E. 4</w:t>
      </w:r>
    </w:p>
    <w:p>
      <w:r>
        <w:t>Le recourant soutient ensuite que les violations qui lui sont reprochées ne seraient pas graves au point de justifier une telle mesure, d'autant plus qu'il peut toujours conduire librement en France. Comme retenu précédemment, les infractions reprochées au recourant sont plus sérieuses qu'il ne l'affirme, ce d’autant plus qu’il a déjà été condamné pour un grave excès de vitesse. Qu’il puisse encore circuler sur territoire français au bénéfice de son permis de conduire français sans que les autorités de ce pays n’interviennent importe peu du moment que le recourant semble persister à circuler sur territoire suisse malgré l’interdiction qui lui a été signifiée et à y commettre des infractions à la LCR. Le moyen est donc infondé.</w:t>
      </w:r>
    </w:p>
    <w:p>
      <w:r>
        <w:rPr>
          <w:b/>
        </w:rPr>
        <w:t>E. 5.1</w:t>
      </w:r>
    </w:p>
    <w:p>
      <w:r>
        <w:t>Enfin, le recourant soutient que le séquestre violerait le principe de la  proportionnalité, qu’on ne saurait le priver de son véhicule alors qu’il aurait le droit de l’utiliser en France et qu’une telle mesure violerait en outre la réserve de propriété de la société de crédit qui aurait financé l’achat du véhicule. Cette dernière devrait être à tout le moins partie à la procédure.</w:t>
      </w:r>
    </w:p>
    <w:p>
      <w:r>
        <w:rPr>
          <w:b/>
        </w:rPr>
        <w:t>E. 5.2.1</w:t>
      </w:r>
    </w:p>
    <w:p>
      <w:r>
        <w:t>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2 e éd., Bâle 2014, n. 23 ad art. 263 CPP ; CREP 13 septembre 2013/589 ; CREP 22 août 2014/600 ; CREP 6 octobre 2014/729).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ce qui est le cas, par exemple, lorsque le véhicule appartient à un membre de la famille ou qu’il a été emprunté à une connaissance (ATF 140 IV 133 précité consid. 3.5 ; Message du Conseil fédéral concernant Via sicura, le programme d’action de la Confédération visant à renforcer la sécurité routière, du 20 octobre 2010, FF 2010 pp. 7703 ss, spéc. p. 7741). L’exigence de sécurité demeure ainsi prioritaire par rapport aux prétentions civiles des tiers propriétaires. Si le tiers n’est pas en mesure ou ne veut pas écarter le danger créé par le véhicule, il doit alors tolérer la confiscation, puisqu’il apparaît comme perturbateur du point de vue des lois de police (Müller/Riske, Via sicura : Confiscation de véhicules en cas de délits routiers – A quoi le tiers propriétaire doit-il s’attendre ?, in : Circulation routière 2/2013, p. 60). En cas de leasing, le message relatif au programme « Via sicura » indique que la confiscation ou la restitution du véhicule à son propriétaire pourrait suffire à empêcher le contrevenant de commettre de nouvelles violations graves des règles de la circulation (FF 2010 pp. 7703 ss, spéc. p. 7741 ; Müller/Riske, op. cit., p. 61). Il incombera au juge d’examiner au cas par cas si les conditions nécessaires à la confiscation et à la réalisation sont remplies (ATF 140 IV 133 précité consid. 3.5 ; FF 2010 p. 7703, spéc. p. 7741). Il en va de même si le séquestre est fondé sur l'art. 69 CP.</w:t>
      </w:r>
    </w:p>
    <w:p>
      <w:r>
        <w:rPr>
          <w:b/>
        </w:rPr>
        <w:t>E. 5.2.2</w:t>
      </w:r>
    </w:p>
    <w:p>
      <w:r>
        <w:t>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 à l’ayant droit avant la clôture de l’enquête (art. 267 al. 2 CPP). La restitution à l'ayant droit des objets et des valeurs patrimoniales séquestrés qui n'ont pas été libérés auparavant, leur utilisation pour couvrir les frais ou leur confiscation sont statuées dans la décision finale (art. 267 al. 3 CPP). Si plusieurs personnes réclament des objets ou des valeurs patrimoniales à libérer, le tribunal peut statuer sur leur attribution (art. 267 al. 4 CPP). L’autorité pénale peut attribuer les objets ou les valeurs patrimoniales à une personne et fixer aux autres réclamants un délai pour intenter une action civile (art. 267 al. 5 CPP). La restitution avant la clôture de l’enquête au sens de l’art. 267 al. 2 CPP ne peut intervenir que lorsque l’ayant droit est connu et que les droits sur les biens libérés ne sont pas contestés. A défaut, ce sont les art. 267 al. 4 à 6 CPP qui s’appliquent (Lembo/Julen Berthod, op. cit., n. 15 ad art. 267 CPP, p. 1219). Si le tribunal peut, dans les cas où la situation juridique est suffisamment établie, décider de l’attribution de l’objet, tel n’est pas le cas du ministère public (Lembo/Julen Berthod, op. cit., nn. 17 ss ad art. 267 CPP, p. 1219). Le ministère public peut donc uniquement attribuer les objets ou les valeurs patrimoniales à une personne et fixer aux autres réclamants un délai pour intenter une action civile (JdT 2015 III 104 consid. 3.2 ; CREP 13 septembre 2013/589).</w:t>
      </w:r>
    </w:p>
    <w:p>
      <w:r>
        <w:rPr>
          <w:b/>
        </w:rPr>
        <w:t>E. 5.3</w:t>
      </w:r>
    </w:p>
    <w:p>
      <w:r>
        <w:t>En l'espèce, à ce stade de la procédure, il n'appartient pas au Ministère public de solliciter lui-même la société de crédit, puisque le véhicule était en possession du recourant et non de celle-ci. Ce n'est que lorsqu’une confiscation vient à être envisagée que le tiers devrait en être informé, afin qu’il puisse faire valoir ses droits fondés sur ses prétentions civiles. En définitive, à ce stade de l’enquête, eu égard à la gravité des infractions qui sont reprochées au recourant, qui est en outre ressortissant français domicilié en France, et de ses antécédents, il n’existe pas de mesures moins sévères que le séquestre pour assurer une éventuelle confiscation du véhicule au volant duquel notamment l’excès de vitesse du 5 février 2018 a été commis.</w:t>
      </w:r>
    </w:p>
    <w:p>
      <w:r>
        <w:rPr>
          <w:b/>
        </w:rPr>
        <w:t>E. 6</w:t>
      </w:r>
    </w:p>
    <w:p>
      <w:r>
        <w:t>Sur le vu de ce qui précède, le recours doit être rejeté sans autre échange d’écritures (art. 390 al. 2 CPP) et l’ordonnance de séquestre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22 mars 2018 est confirmée. III. L’indemnité allouée au défenseur d’office de G.________ est fixée à 581 fr. 60 (cinq cent huitante et un francs et soixante centimes). IV. Les frais d’arrêt, par 1’210 fr. (mille deux cent dix francs), ainsi que l’indemnité due au défenseur d’office de G.________, par 581 fr. 60 (cinq cent huitante et un francs et soixante centimes), sont mis à la charge de ce dernier. V. Le remboursement à l’Etat de l’indemnité allouée au chiffre III ci-dessus ne sera exigible que pour autant que la situation économique de G.________ le permette. VI. L’arrêt est exécutoire. Le président :               La greffière : Du Le présent arrêt, dont la rédaction a été approuvée à huis clos, est notifié, par l'envoi d'une copie complète, à : - Me Adrienne Favre, avocate (pour G.________), - Ministère public central, et communiqué à : - M. le Procureur de l’arrondissement de La Côte, - Police cantonale vaudoise (à l’att. de M. le sgtm Blot),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