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327 vom 25. April 2018</w:t>
      </w:r>
    </w:p>
    <w:p>
      <w:r>
        <w:t>VD Tribunal cantonal, 2018-04-25, FR</w:t>
      </w:r>
    </w:p>
    <w:p>
      <w:r>
        <w:rPr>
          <w:b/>
        </w:rPr>
        <w:t xml:space="preserve">Quelle: </w:t>
      </w:r>
      <w:r>
        <w:t>https://mcp.opencaselaw.ch/entscheid/vd_findinfo_D_cision___2018___327</w:t>
      </w:r>
    </w:p>
    <w:p>
      <w:r>
        <w:t>FR: VD_FINDINFO Décision / 2018 / 327 du 25 avril 2018</w:t>
      </w:r>
    </w:p>
    <w:p>
      <w:r>
        <w:t>IT: VD_FINDINFO Décision / 2018 / 327 del 25 aprile 2018</w:t>
      </w:r>
    </w:p>
    <w:p>
      <w:pPr>
        <w:pStyle w:val="Heading2"/>
      </w:pPr>
      <w:r>
        <w:t>Regeste</w:t>
      </w:r>
    </w:p>
    <w:p>
      <w:r>
        <w:t>DÉTENTION PROVISOIRE, RISQUE DE COLLUSION, RISQUE DE RÉCIDIVE | 221 al. 1 let. b CPP (CH),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3.1 Le recourant fait valoir que ses antécédents ne parlent certes pas en sa faveur, mais que la semaine de détention subie aurait déjà un impact dissuasif sur son futur comportement, car c'est la première fois qu'il fait de la prison. Le risque de récidive ne serait donc plus assez important pour justifier une détention provisoire de deux mois. Le recourant propose en outre de débuter une thérapie liée à sa consommation excessive d'alcool à titre de mesure de substitution. 3.2 Selon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135 I 71 consid. 2.3), à savoir en présence de crimes et délits graves et d'un danger sérieux et concret pour les victimes potentielles (ATF 137 IV 13 consid. 4.5). La jurisprudence se montre toutefois moins stricte dans l'exigence de la vraisemblance de récidive lorsqu'il s'agit de délits de violence graves ou de délits sexuels, car le risque à faire courir aux victimes potentielles est alors considéré comme trop important ; en pareil cas, il convient de tenir compte de l'état psychique du prévenu, de son imprévisibilité ou de son agressivité (ATF 123 I 268 consid. 2e). La simple possibilité, hypothétique, de commission de nouvelles infractions ou la vraisemblance que soient commises des infractions mineures, ne suffit pas (ATF 135 I 71 consid. 2.3).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 3.3 En l'espèce, force est de constater qu'aux faits de violence objets de la présente procédure – qui peuvent être pris en considération (cf. consid. 3.2 in fine supra) – s'ajoutent des antécédents de violence physique, soit une condamnation le 27 mai 2013 par le Tribunal des mineurs, notamment pour brigandage, une condamnation le 27 octobre 2014 par le Ministère public de l'arrondissement de Lausanne, notamment pour extorsion et chantage qualifié, ainsi qu'une condamnation le 3 octobre 2017 par le Ministère public de l'arrondissement de Lausanne, notamment pour agression. L'ensemble de ces éléments, ainsi que les faits de la présente cause, démontrent que le recourant est incapable de réprimer ses pulsions récurrentes de violence. Son comportement est d'autant plus préoccupant qu'il a agressé sa dernière victime de manière purement gratuite, sans aucune altercation ni antécédent avec celle-ci. Dans ces circonstances, il faut sérieusement craindre que le recourant récidive par des agissements violents en portant atteinte à l'intégrité corporelle d'autrui, de sorte qu'il convient de faire prévaloir la sécurité publique sur la liberté personnelle de l'intéressé. L'ordonnance attaquée échappe donc à toute critique en tant qu’elle retient l’existence d’un risque de récidive au sens de l’art. 221 al. 1 let. c CPP. Au demeurant, comme relevé par l'autorité intimée, rien au dossier ne permet de retenir que la violence affichée par le recourant serait totalement ou partiellement imputable à une consommation excessive d'alcool. D'ailleurs, celui-ci ne documente nullement à partir de quand il pourrait suivre une thérapie liée à ce prétendu problème, dans quelle institution et quelles en seraient les modalités. Par conséquent, cette mesure de substitution ne peut qu'être rejetée.</w:t>
      </w:r>
    </w:p>
    <w:p>
      <w:r>
        <w:rPr>
          <w:b/>
        </w:rPr>
        <w:t>E. 4</w:t>
      </w:r>
    </w:p>
    <w:p>
      <w:r>
        <w:t>Dès lors que la réalisation d'un seul risque de l'art. 221 CPP suffit pour justifier le maintien du recourant en détention provisoire (TF 1B_242/2016 du 21 juillet 2016 consid. 5), c'est à juste titre que le premier juge n'a pas examiné les risques de collusion et de fuite. Toutefois, on peut retenir que le risque de collusion est également réalisé. En effet, dans la mesure où un des témoins n'a pas encore été entendu, on ne peut exclure que d'autres mesures d'instruction soient nécessaires après cette audition.</w:t>
      </w:r>
    </w:p>
    <w:p>
      <w:r>
        <w:rPr>
          <w:b/>
        </w:rPr>
        <w:t>E. 5.1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5.2</w:t>
      </w:r>
    </w:p>
    <w:p>
      <w:r>
        <w:t>En l’espèce, au vu de ses nombreux antécédents, le recourant s'expose à une peine privative de liberté au moins équivalente à celle de la détention provisoire de deux mois qui a été prononcée, de sorte que le principe de la proportionnalité est respecté. Le fait que la peine puisse être assortie du sursis ne joue pas de rôle à cet égard (TF 1B_330/2013 du 16 octobre 2013 ; TF 1B_641/2011 du 25 novembre 2011).</w:t>
      </w:r>
    </w:p>
    <w:p>
      <w:r>
        <w:rPr>
          <w:b/>
        </w:rPr>
        <w:t>E. 6</w:t>
      </w:r>
    </w:p>
    <w:p>
      <w:r>
        <w:t>Il s'ensuit que le recours, manifestement mal fondé, doit être rejeté sans autre échange d'écritures (art. 390 al. 2 CPP) et l'ordonnance entreprise confirmée. Les frais de la procédure de recours, par 770 fr. (art. 20 al. 1 TFIP [tarif des frais de procédure et indemnités en matière pénale du 28 septembre 2010 ; RSV 312.03.1]), ainsi que les frais imputables à la défense d’office (art. 422 al. 1 et 2 let. a CPP), fixés à 387 fr. 70 (soit 360 fr., plus la TVA par 27 fr. 70), seront mis à la charge du recourant, qui succombe (art. 428 al. 1 CPP). Le remboursement à l’Etat de l’indemnité allouée au défenseur d’office du recourant sera exigible dès que sa situation financière le permettra (art. 135 al. 4 CPP). Par ces motifs, la Chambre des recours pénale prononce : I. Le recours est rejeté. II. L'ordonnance du 18 avril 2018 est confirmée. III. L’indemnité allouée au défenseur d’office de X.________ est fixée à 387 fr. 70 (trois cent huitante-sept francs et septante centimes). IV. Les frais d'arrêt, par 770 fr. (sept cent septante francs), ainsi que l'indemnité due au défenseur d'office de X.________, par 387 fr. 70 (trois cent huitante-sept francs et septante centimes), sont mis à la charge de X.________. V. Le remboursement à l'Etat de l'indemnité allouée au chiffre III ci-dessus sera exigible dès que la situation financière de X.________ le permettra. VI. L’arrêt est exécutoire. Le président :              La greffière : Du Le présent arrêt, dont la rédaction a été approuvée à huis clos, est notifié, par l'envoi d'une copie complète, à : - Me Raphaël Tatti, avocat (pour X.________), - Ministère public central, et communiqué à : - M. le Président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