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274 vom 7. April 2018</w:t>
      </w:r>
    </w:p>
    <w:p>
      <w:r>
        <w:t>VD Tribunal cantonal, 2018-04-07, FR</w:t>
      </w:r>
    </w:p>
    <w:p>
      <w:r>
        <w:rPr>
          <w:b/>
        </w:rPr>
        <w:t xml:space="preserve">Quelle: </w:t>
      </w:r>
      <w:r>
        <w:t>https://mcp.opencaselaw.ch/entscheid/vd_findinfo_D_cision___2018___274</w:t>
      </w:r>
    </w:p>
    <w:p>
      <w:r>
        <w:t>FR: VD_FINDINFO Décision / 2018 / 274 du 7 avril 2018</w:t>
      </w:r>
    </w:p>
    <w:p>
      <w:r>
        <w:t>IT: VD_FINDINFO Décision / 2018 / 274 del 7 aprile 2018</w:t>
      </w:r>
    </w:p>
    <w:p>
      <w:pPr>
        <w:pStyle w:val="Heading2"/>
      </w:pPr>
      <w:r>
        <w:t>Regeste</w:t>
      </w:r>
    </w:p>
    <w:p>
      <w:r>
        <w:t>CAS DE SÉQUESTRE, INTÉRESSÉ | 105 al. 1 let. f CPP (CH), 263 CPP (CH)</w:t>
      </w:r>
    </w:p>
    <w:p>
      <w:pPr>
        <w:pStyle w:val="Heading2"/>
      </w:pPr>
      <w:r>
        <w:t>Erwägungen</w:t>
      </w:r>
    </w:p>
    <w:p>
      <w:r>
        <w:rPr>
          <w:b/>
        </w:rPr>
        <w:t>E. 1.1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 Parein-Reymond, Petit Commentaire du Code de procédure pénale, Bâle 2016, n. 24 ad art. 263 CPP; Lembo/Julen Berthod, in: Kuhn/Jeanneret [éd.], Commentaire romand, Code de procédure pénale suisse, Bâle 2011, n. 4 ad art. 267 CPP; CREP 8 mars 2017/161; CREP 13 mars 2015/188; CREP 19 février 2015/51 et les références citées). Ce recours s’exerce par écrit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Selon l'art. 105 al. 1 let. f CPP, participent également à la procédure les tiers touchés par des actes de procédure. Lorsqu'ils sont directement touchés dans leurs droits, la qualité de partie leur est reconnue dans la mesure nécessaire à la sauvegarde de leurs intérêts (art. 105 al. 2 CPP). Ils ne peuvent donc bénéficier des droits de parties que si cette condition est réalisée. Une exception semblable existait déjà avant l'entrée en vigueur du CPP; les tiers touchés par une mesure de contrainte avaient en effet les mêmes droits que le prévenu. Pour se voir reconnaître cette qualité, il faut que l'atteinte à ses droits soit directe, immédiate et personnelle, une atteinte de fait ou indirecte étant insuffisante (ATF 137 IV 280 consid. 2.2.1, JdT 2012 IV 139; TF 1B_388/2016 du 6 mars 2017 consid. 3.1). Une atteinte a notamment été retenue lors de la condamnation aux frais ou lorsque les biens d'un tiers sont placés sous séquestre (TF 1B_388/2016 consid. 3.1; TF 1B_239/2016, consid. 3.3 et les références citées). Le tiers objet d’une mesure de séquestre ne peut faire état que de son propre préjudice dans la mesure où il est directement et personnellement touché par la mesure et doit rendre crédible qu’il est directement touché dans ses intérêts juridiquement protégés par les actes de procédure visés (Moreillon/Parein-Reymond, op. cit., n. 11 ad art. 105 CPP; TPF BB.2011.78-79 du 5 décembre 2011 consid. 3.1.2, JdT 2012 IV 363). En l’espèce, le recourant est directement touché dans son droit de possession fondé sur le contrat de location conclu avec le prévenu. Il a donc la qualité pour recourir.</w:t>
      </w:r>
    </w:p>
    <w:p>
      <w:r>
        <w:rPr>
          <w:b/>
        </w:rPr>
        <w:t>E. 1.3</w:t>
      </w:r>
    </w:p>
    <w:p>
      <w:r>
        <w:t>Interjeté en temps utile devant l’autorité compétente par un tiers touché par des actes de procédure (art. 105 al. 1 let. f CPP) qui a un intérêt juridique à l’annulation ou la modification de l’ordonnance entreprise (art. 382 al. 1 CPP) et dans les formes prescrites (art. 385 al. 1 CPP), le recours de K.________ est recevable en tant qu’il est dirigé contre le séquestre. En revanche, la Cour de céans, étant compétente uniquement pour vérifier le bien-fondé de l’ordonnance de séquestre, n’entrera pas en matière sur les conclusions en paiement articulées contre le prévenu.</w:t>
      </w:r>
    </w:p>
    <w:p>
      <w:r>
        <w:rPr>
          <w:b/>
        </w:rPr>
        <w:t>E. 2</w:t>
      </w:r>
    </w:p>
    <w:p>
      <w:r>
        <w:t>CPP), ce qui exclut qu'elle résolve des questions juridiques complexes ou qu'elle attende d'être renseignée de manière exacte et complète sur les faits avant d'agir (ATF 140 IV 57 précité consid. 4.1.2 et les références citées).</w:t>
      </w:r>
    </w:p>
    <w:p>
      <w:r>
        <w:rPr>
          <w:b/>
        </w:rPr>
        <w:t>E. 2.1</w:t>
      </w:r>
    </w:p>
    <w:p>
      <w:r>
        <w:t>L'art. 197 al. 1 CPP prévoit que les mesures de contrainte ne peuvent être ordonnées que lorsqu’elles sont prévues par la loi (let. a), que des soupçons suffisants laissent présumer une infraction (let. b), que les buts poursuivis ne peuvent pas être atteints par des mesures moins sévères (let. c) et qu’elles apparaissent justifiées au regard de la gravité de l'infraction (let. d). Le séquestre en matière pénale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lésés (art. 263 al. 1 let. c CPP) ou qu'ils devront être confisqués (art. 263 al. 1 let. d CPP).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(Moreillon/Parein-Reymond, op. cit., n. 13 ad art. 263 CPP). Réglementé plus précisément à l'art. 268 CPP, ce type de séquestre ne peut en revanche pas servir à garantir les prétentions civiles (Message du Conseil fédéral relatif à l'unification du droit de la procédure pénale, FF 2006 1229). Le séquestre en vue de la restitution (art. 263 al. 1 let. c CPP) consiste à placer en mains de justice des objets ou valeurs patrimoniales dans le but de les rendre au lésé en rétablissement des droits qui lui seront reconnus au terme du procès (Lembo/Julen Berthod, op. cit., n. 12 ad art. 263 CP). S'agissant en particulier d'un séquestre en vue de confiscation (art.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w:t>
      </w:r>
    </w:p>
    <w:p>
      <w:r>
        <w:rPr>
          <w:b/>
        </w:rPr>
        <w:t>E. 2.2</w:t>
      </w:r>
    </w:p>
    <w:p>
      <w:r>
        <w:t>Pour que le séquestre soit conforme au principe de proportionnalité, il faut qu'il soit apte à produire les résultats escomptés (règle de l’aptitude), ces derniers ne pouvant pas être atteints par une mesure moins incisive (règle de la nécessité). En outre, lorsque le séquestre en garantie d'une créance compensatrice porte sur la totalité des revenus, la situation est assimilable à une saisie sur salaire du droit des poursuites. Au regard du principe de proportionnalité, l'autorité pénale doit donc, déjà au stade du séquestre, tenir compte de l'éventuelle atteinte au minimum vital du prévenu (ATF 141 IV 360 consid. 3.4).</w:t>
      </w:r>
    </w:p>
    <w:p>
      <w:r>
        <w:rPr>
          <w:b/>
        </w:rPr>
        <w:t>E. 2.3</w:t>
      </w:r>
    </w:p>
    <w:p>
      <w:r>
        <w:t>En l’espèce, le recourant ne met pas en cause la vraisemblance des infractions envisagées. A juste titre, dès lors que celle-ci a déjà été admise par la Cour de céans dans son arrêt du 1 er février 2018 (n° 71), qui conserve toute sa pertinence. Par ailleurs, vu la nature des agissements reprochés au prévenu, on peut supposer à ce stade que le véhicule [...] a été acquis en remploi du produit des infractions en cause, et qu’il pourrait devoir faire l’objet d’une confiscation. En outre, compte tenu des frais prévisibles de la procédure et de la dépréciation rapide de la valeur d’un tel véhicule, la saisie se révèle également proportionnée dans l’optique d’une garantie des frais de la procédure ou d’une éventuelle créance compensatrice, le recourant ne mettant pas en avant un intérêt privé prépondérant. Certes, celui-ci allègue que la voiture litigieuse est son outil de travail mais ne soutient et ne rend nullement vraisemblable que sa situation financière ne lui permettrait pas de trouver une autre solution pour se déplacer sur le plan professionnel, par exemple en utilisant les transports publics ou en louant un autre véhicule. Le recourant ne met pas davantage en avant une quelconque circonstance susceptible de faire apparaître le séquestre comme disproportionné en regard de sa situation personnelle. Au demeurant, si le recourant se constituait partie civile, il pourrait réclamer au prévenu le montant de son éventuel dommage, le séquestre pouvant aussi servir à allouer aux lésés, donc également au recourant, une créance compensatrice comme déjà exposé. Dès lors, en l’état, la mesure ordonnée par le Ministère public en application de l’art. 263 al. 1 let. b, c et d CPP doit être confirmée.</w:t>
      </w:r>
    </w:p>
    <w:p>
      <w:r>
        <w:rPr>
          <w:b/>
        </w:rPr>
        <w:t>E. 3</w:t>
      </w:r>
    </w:p>
    <w:p>
      <w:r>
        <w:t>En définitive, dans la mesure où il est recevable, le recours, manifestement mal fondé, doit être rejeté sans autre échange d'écritures (art. 390 al. 2 CPP) et l'ordonnance du 7 mars 2018 confirmée. Les frais de la procédure de recours, constitués en l'espèce du seul émolument de l’arrêt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7 mars 2018 est confirmée. III. Les frais d’arrêt, par 880 fr. (huit cent huitante francs), sont mis à la charge de K.________. IV. L’arrêt est exécutoire. Le président :               Le greffier : Du Le présent arrêt, dont la rédaction a été approuvée à huis clos, est notifié, par l'envoi d'une copie complète, à : - M. K.________, - Ministère public central, et communiqué à : - Mme la Procureure de l’arrondissement de La Côte, - Me David Parisod (pour E.________),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