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272 vom 7. April 2018</w:t>
      </w:r>
    </w:p>
    <w:p>
      <w:r>
        <w:t>VD Tribunal cantonal, 2018-04-07, FR</w:t>
      </w:r>
    </w:p>
    <w:p>
      <w:r>
        <w:rPr>
          <w:b/>
        </w:rPr>
        <w:t xml:space="preserve">Quelle: </w:t>
      </w:r>
      <w:r>
        <w:t>https://mcp.opencaselaw.ch/entscheid/vd_findinfo_D_cision___2018___272</w:t>
      </w:r>
    </w:p>
    <w:p>
      <w:r>
        <w:t>FR: VD_FINDINFO Décision / 2018 / 272 du 7 avril 2018</w:t>
      </w:r>
    </w:p>
    <w:p>
      <w:r>
        <w:t>IT: VD_FINDINFO Décision / 2018 / 272 del 7 aprile 2018</w:t>
      </w:r>
    </w:p>
    <w:p>
      <w:pPr>
        <w:pStyle w:val="Heading2"/>
      </w:pPr>
      <w:r>
        <w:t>Regeste</w:t>
      </w:r>
    </w:p>
    <w:p>
      <w:r>
        <w:t>DÉTENTION PROVISOIRE, PROLONGATION, MISE EN LIBERTÉ PROVISOIRE, RISQUE DE COLLUSION, RISQUE DE FUITE, RISQUE DE RÉCIDIVE, MESURE DE SUBSTITUTION À LA DÉTENTION | 221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X.________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w:t>
      </w:r>
    </w:p>
    <w:p>
      <w:r>
        <w:rPr>
          <w:b/>
        </w:rPr>
        <w:t>E. 3.1</w:t>
      </w:r>
    </w:p>
    <w:p>
      <w:r>
        <w:t>Le recourant conteste l’existence d’un risque de collusion. Il prétend que les auditions des principaux protagonistes ont eu lieu et relève que ses adresses postales françaises ont été perquisitionnées, que tous documents utiles ont été saisis et que tous ses véhicules ont été séquestrés. En outre, le recourant fait valoir que [...], auteure, selon lui, de l’intégralité des falsifications constatées, n’a pas fait l’objet d’une quelconque mesure de contrainte, de sorte qu’il en résulterait un traitement différencié constitutif d’une inégalité de traitement. Il en déduit que le contexte de fait est largement arrêté par les nombreuses mesures d’instruction déjà entreprises et que plus aucun moyen de preuve ne serait menacé.</w:t>
      </w:r>
    </w:p>
    <w:p>
      <w:r>
        <w:rPr>
          <w:b/>
        </w:rPr>
        <w:t>E. 3.2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 TF 1B_79/2012 du 22 février 2012 consid. 5.1 ; TF 1B_55/2010 du 11 mars 2010 consid. 3.1 et les références citées).</w:t>
      </w:r>
    </w:p>
    <w:p>
      <w:r>
        <w:rPr>
          <w:b/>
        </w:rPr>
        <w:t>E. 3.3</w:t>
      </w:r>
    </w:p>
    <w:p>
      <w:r>
        <w:t>En l’espèce, de nombreuses mesures d’instruction sont en cours afin de circonscrire l’activité délictueuse du recourant et de déterminer le rôle exact joué par les différents protagonistes de cette affaire. Le Ministère public relève que les transactions d’argent effectuées par X.________, par le biais de son vrai nom ou de ses identités fictives, doivent être analysées, de même que les centaines de documents saisis, ce qui permettra d’identifier d’éventuelles autres personnes impliquées, qu’il conviendra d’entendre le cas échéant. En outre, des recherches complémentaires doivent être entreprises auprès des banques et des organismes de crédit et les auditions de personnes dont l’identité a été utilisée par le recourant doivent être effectuées en France par l’intermédiaire d’une demande d’entraide internationale (cf rapport d’investigation du 20 décembre 2017). Dans ces circonstances, le maintien en détention de l’intéressé apparaît indispensable afin de l’empêcher de prendre contact avec tous les protagonistes qui doivent encore être entendus, mais aussi pour éviter qu’il interfère avec le bon déroulement de l’enquête, en récupérant tout ou partie du produit des infractions qu’il est soupçonné d’avoir commis. Cela vaut d’autant que X.________ a tenté d’adresser un courrier contenant des détails sur l’enquête à un tiers et qu’il n’a pas respecté les règles mises en place s’agissant de l’utilisation du téléphone en détention, puisqu’il a notamment parlé à un autre interlocuteur que celui mentionné sur le formulaire d’autorisation (P. 178 et P. 192). Partant, le risque de collusion est manifeste. Par ailleurs, le recourant ne saurait comparer son cas à celui de [...] et se prévaloir d’une inégalité de traitement parce que cette dernière n’aurait pas fait l’objet d’une mesure de contrainte. En effet, la situation des intéressés est différente. La prénommée est de nationalité suisse et est domiciliée à [...], alors que X.________ est de nationalité étrangère, n’a aucun titre de séjour valable en Suisse et a son domicile en France voisine. En outre, il ressort du dossier que [...] paraît moins impliquée que le prévenu et que l’activité délictueuse de celui-ci est plus intense. En tout état de cause, au regard des nombreuses investigations en cours, et des explications susmentionnées, le recourant ne saurait soutenir que les faits seraient à ce stade clairement déterminés et considérer qu’aucun moyen de preuve ne serait menacé s’il venait à être libéré.</w:t>
      </w:r>
    </w:p>
    <w:p>
      <w:r>
        <w:rPr>
          <w:b/>
        </w:rPr>
        <w:t>E. 4.1</w:t>
      </w:r>
    </w:p>
    <w:p>
      <w:r>
        <w:t>Le recourant conteste l’existence d’un risque de fuite. En substance, il fait valoir qu’il serait prêt à assumer ses responsabilités et qu’il s’est engagé à collaborer, et donc à rester à disposition de la direction de la procédure. En outre, il soutient qu’il est très attaché à sa famille, que sa vie est en Suisse et en France voisine et qu’il n’aurait aucune intention de se dérober à la justice.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4.3</w:t>
      </w:r>
    </w:p>
    <w:p>
      <w:r>
        <w:t>En l’occurrence, devant le Tribunal des mesures de contrainte, le recourant a admis qu’il était domicilié et avait ses attaches en France voisine, et qu’il n’avait pas de statut de séjour valable en Suisse. En outre, il est un ressortissant de [...] et n’a pas d’activité professionnelle légale pouvant lui générer des revenus licites. L’activité délictuelle qui lui est reprochée est intense et professionnelle, si bien qu’il est prévenu d’escroquerie par métier et de faux dans les titres notamment, des crimes passibles de peines privatives de liberté importantes. Ainsi, afin d’éviter la lourde condamnation à laquelle le recourant s’expose en cas de condamnation, il est prévisible que ce dernier quitte la Suisse ou disparaisse dans la clandestinité, ce d’autant qu’il a l’habitude de passer inaperçu en utilisant des identités fictives ou appartenant à autrui. De plus, outre qu’il pourrait aisément disparaître en France, où il a son fils et ses principales attaches, il pourrait également retourner dans son pays d’origine, où il a voyagé l’été dernier et où il est au demeurant soupçonné d’avoir investi une partie de l’argent provenant de son activité délictueuse. Dans ces conditions, le risque de fuite est également concret.</w:t>
      </w:r>
    </w:p>
    <w:p>
      <w:r>
        <w:rPr>
          <w:b/>
        </w:rPr>
        <w:t>E. 5.1</w:t>
      </w:r>
    </w:p>
    <w:p>
      <w:r>
        <w:t>Le recourant soutient qu’il ne présenterait pas un risque de réitération. Il ne conteste pas que les faits qui lui sont reprochés sont graves. Il relève en particulier son absence d’antécédent.</w:t>
      </w:r>
    </w:p>
    <w:p>
      <w:r>
        <w:rPr>
          <w:b/>
        </w:rPr>
        <w:t>E. 5.2</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pp. 18 ss ;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 TF 1B_217/2016 précité consid. 4.1 in fine ; TF 1B_731/2011 du 16 janvier 2012 consid. 3.1).</w:t>
      </w:r>
    </w:p>
    <w:p>
      <w:r>
        <w:rPr>
          <w:b/>
        </w:rPr>
        <w:t>E. 5.3</w:t>
      </w:r>
    </w:p>
    <w:p>
      <w:r>
        <w:t>En l’espèce, il est vrai que X.________ ne figure pas au casier judiciaire suisse. Cependant, l’activité délictueuse qui lui est reprochée est particulièrement intense et d’une gravité importante. En outre, elle semble avoir débuté en 2008, soit il y a environ dix ans. Depuis cette date, à tout le moins, au regard du dossier, le recourant ne paraît avoir cessé de commettre, sans scrupules, des infractions pour percevoir de nombreux revenus au préjudice de particuliers, d’organismes bancaires et de crédits, ainsi que d’institutions sociales. On relève que l’intéressé est notamment soupçonné d’avoir, en mars 2017, spolié [...] d’une somme de l’ordre de 100'000 francs. Par ailleurs, le recourant n’a pas de revenus licites et sa compagne, qui habite en France, n’a pas de travail, si bien qu’en cas de libération, il devra assumer l’entretien de celle-ci ainsi que de son fils. De plus, avant son incarcération, l’intéressé menait un train de vie élevé. Ainsi, au regard l’ensemble de ces éléments, force est d’admettre qu’il existe un danger sérieux que X.________, s’il était libéré, recommence ses activités illégales afin de subvenir à ses besoins et d’entretenir sa famille, en mettant en péril la situation financière et personnelle de potentielles victimes. Dans ces conditions, il y a lieu de considérer que le risque de réitération est élevé.</w:t>
      </w:r>
    </w:p>
    <w:p>
      <w:r>
        <w:rPr>
          <w:b/>
        </w:rPr>
        <w:t>E. 6.1</w:t>
      </w:r>
    </w:p>
    <w:p>
      <w:r>
        <w:t>Le recourant propose diverses mesures de substitution.</w:t>
      </w:r>
    </w:p>
    <w:p>
      <w:r>
        <w:rPr>
          <w:b/>
        </w:rPr>
        <w:t>E. 6.2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consid.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consid. 2.3).</w:t>
      </w:r>
    </w:p>
    <w:p>
      <w:r>
        <w:rPr>
          <w:b/>
        </w:rPr>
        <w:t>E. 6.3</w:t>
      </w:r>
    </w:p>
    <w:p>
      <w:r>
        <w:t>Le recourant propose des mesures de substitution sous la forme d’une assignation à résidence et/ou du port d’un bracelet électronique. Il soutient que le dénommé [...], domicilié à [...], serait disposé à l’accueillir, le loger et le soutenir financièrement, de même que la dénommée [...], laquelle est domiciliée en France (cf. P. 15 et P. 16 produites à l’appui du recours). En outre, il se déclare prêt à se présenter régulièrement auprès d’un poste de police et à s’astreindre à une obligation de résidence. Enfin, il fait grief au Tribunal des mesures de contrainte d’avoir violé son droit d’être entendu en ne se déterminant pas sur les mesures proposées. En l’espèce, il est vrai que le Tribunal des mesures de contrainte s’est contenté, à cet égard, de mentionner ce qui suit : « toutes les mesures de substitution proposées par la défense, ni aucune autre d’ailleurs, ne permettent manifestement pas de pallier efficacement les risques constatés, dans la mesure où l’intensité de ceux-ci reste très élevée », sans détailler ces mesures. Cependant, X.________ a pu comprendre le raisonnement, certes sommaire, du premier juge et recourir utilement contre la décision entreprise. Au demeurant, à supposer que son droit d’être entendu ait été violé, l’autorité de céans, qui dispose d’un pouvoir d’examen complet en fait et en droit, peut réparer cette irrégularité, dès lors que celle-ci n’est en l’occurrence pas particulièrement grave et que l’intéressé s’est exprimé par le biais de la procédure de recours (cf. TF 1B_40/2013 du 26 février 2013 consid. 3.1). S’agissant des mesures de substitution, force est effectivement de constater qu’elles ne sont pas propres à pallier les risques constatés. Premièrement, on relève que le fait de résider en Suisse avec une assignation à résidence dans ce pays, voire un bracelet électronique, ne permet pas de parer au risque de collusion, le recourant demeurant libre de contacter quiconque par téléphone et/ou par courriel. Dans cette mesure, l’obligation de se soumettre à un pointage régulier auprès d’un poste de police n’offre d’ailleurs pas plus de garantie. Par ailleurs, dès lors qu’en cas de libération, le recourant aura accès à Internet et aura donc la possibilité d’effectuer des transactions financières et/ou des demandes de carte de crédit par ce biais, les mesures proposées ne sauraient pallier le risque de réitération. En outre, une assignation à résidence ou une obligation de se présenter à un poste de police ne permettra que de constater une éventuelle fuite ou une entrée dans la clandestinité, mais pas de la prévenir (cf. en ce sens TF 1B_513/2012 du 2 octobre 2012 consid. 3.3). De même, bien que les papiers de l’intéressé soient en mains du Ministère public, celui-ci pourrait aisément se rendre en France (cf. TF 1B_145/2017 du 4 mai 2017 consid. 4.3). Pour le reste, les perspectives de gains licites dans ce pays, par le biais d’une éventuelle société réalisant des forages hydrauliques, évoquées par le recourant (cf. audition devant le Tribunal des mesures de contrainte, p. 3) paraissent irréalistes, d’autant plus si l’exploitation de cette société est effectuée depuis la Suisse. Enfin, aucune autre mesure de substitution n’apparaît opportune dans le cas d’espèce. Partant, c’est à juste titre que le Tribunal des mesures de contrainte a refusé de les mettre en œuvre.</w:t>
      </w:r>
    </w:p>
    <w:p>
      <w:r>
        <w:rPr>
          <w:b/>
        </w:rPr>
        <w:t>E. 7.1</w:t>
      </w:r>
    </w:p>
    <w:p>
      <w:r>
        <w:t>Le recourant soutient que la prolongation de la détention provisoire pour une durée de trois mois violerait le principe de la proportionnalité.</w:t>
      </w:r>
    </w:p>
    <w:p>
      <w:r>
        <w:rPr>
          <w:b/>
        </w:rPr>
        <w:t>E. 7.2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w:t>
      </w:r>
    </w:p>
    <w:p>
      <w:r>
        <w:rPr>
          <w:b/>
        </w:rPr>
        <w:t>E. 7.3</w:t>
      </w:r>
    </w:p>
    <w:p>
      <w:r>
        <w:t>En l’occurrence, le recourant est détenu provisoirement depuis le 3 octobre 2017 et l’ordonnance attaquée prolonge sa période de détention provisoire pour une durée de trois mois, portant celle-ci à une durée totale de neuf mois. Au vu des nombreux faits reprochés au prévenu, de leur gravité et de leur étendue dans le temps, celui-ci encourt de toute évidence une peine de plus de neuf mois. En effet, X.________ est prévenu d’escroquerie par métier et de faux dans les titres notamment, des crimes passibles d’une peine privative de liberté de dix ans au plus, respectivement de cinq ans au plus. Partant, le principe de la proportionnalité demeure respecté.</w:t>
      </w:r>
    </w:p>
    <w:p>
      <w:r>
        <w:rPr>
          <w:b/>
        </w:rPr>
        <w:t>E. 8</w:t>
      </w:r>
    </w:p>
    <w:p>
      <w:r>
        <w:t>En définitive, le recours, manifestement mal fondé, doit être rejeté sans échange d’écritures (art. 390 al. 2 CPP) et l’ordonnance attaquée confirmée. Le défenseur d’office de X.________ a produit une liste d’opérations faisant état d’une activité d’avocat breveté de 15,20 heures et d’une activité d’avocat-stagiaire de 5,50 heures. Le nombre d’heures allégué est excessif. En effet, le dossier de la cause n’est en soi pas particulièrement complexe s’agissant de la question de la détention provisoire, si bien qu’il n’était pas nécessaire d’exposer un argumentaire aussi conséquent pour défendre efficacement les intérêts du recourant. Dans ces circonstances, il convient de réduire les honoraires allégués de moitié. Partant, il y a lieu de retenir une activité d’avocat breveté de 7,6 heures et une activité d’avocat-stagiaire de 2,75 heures. Ainsi, l’indemnité d’office qui doit être allouée est arrêtée à 1'670 fr. 50 ([7,6 x 180 fr.] + [2,75 x 110 fr.]), plus la TVA par 128 fr. 60, soit 1'799 fr.</w:t>
      </w:r>
    </w:p>
    <w:p>
      <w:r>
        <w:rPr>
          <w:b/>
        </w:rPr>
        <w:t>E. 10</w:t>
      </w:r>
    </w:p>
    <w:p>
      <w:r>
        <w:t>au total. Les frais de la procédure de recours, constitués en l’espèce de l’émolument d'arrêt, par 1’430 fr. (art. 20 al. 1 TFIP [Tarif des frais de procédure et indemnités en matière pénale du 28 septembre 2010 ; RSV 312.03.1]), et des frais imputables à la défense d’office (art. 422 al. 1 et 2 let. a CPP), fixés à 1’799 fr. 10, seront mis à la charge de X.________,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21 mars 2018 est confirmée. III. L’indemnité allouée au défenseur d’office de X.________ est fixée à 1'799 fr. 10 (mille sept cent nonante-neuf francs et dix centimes). IV. Les frais de la procédure de recours, par 1’430 fr. (mille quatre cent trente francs), ainsi que l’indemnité due au défenseur d’office de X.________, par 1'799 fr. 10 (mille sept cent nonante-neuf francs et dix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 - Me Valentin Marmillod, avocat (pour X.________), - Ministère public central, et communiqué à : - Mme la Présidente du Tribunal des mesures de contrainte,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