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256 vom 29. März 2018</w:t>
      </w:r>
    </w:p>
    <w:p>
      <w:r>
        <w:t>VD Tribunal cantonal, 2018-03-29, FR</w:t>
      </w:r>
    </w:p>
    <w:p>
      <w:r>
        <w:rPr>
          <w:b/>
        </w:rPr>
        <w:t xml:space="preserve">Quelle: </w:t>
      </w:r>
      <w:r>
        <w:t>https://mcp.opencaselaw.ch/entscheid/vd_findinfo_D_cision___2018___256</w:t>
      </w:r>
    </w:p>
    <w:p>
      <w:r>
        <w:t>FR: VD_FINDINFO Décision / 2018 / 256 du 29 mars 2018</w:t>
      </w:r>
    </w:p>
    <w:p>
      <w:r>
        <w:t>IT: VD_FINDINFO Décision / 2018 / 256 del 29 marzo 2018</w:t>
      </w:r>
    </w:p>
    <w:p>
      <w:pPr>
        <w:pStyle w:val="Heading2"/>
      </w:pPr>
      <w:r>
        <w:t>Regeste</w:t>
      </w:r>
    </w:p>
    <w:p>
      <w:r>
        <w:t>SÉQUESTRE{MESURE PROVISIONNELLE}, PROPORTIONNALITÉ | 71 al. 3 CP, 263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2016, n. 24 ad art. 263 CPP ; Lembo/Julen Berthod, in : Kuhn/Jeanneret [éd.], Commentaire romand, Code de procédure pénale suisse, Bâle 2011, n. 4 ad art. 267 CPP ; CREP 13 mars 2015/188 ; CREP 19 février 2015/51 et les références citées).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les recours ont été interjetés dans le délai légal auprès de l’autorité compétente par la plaignante, qui a qualité pour recourir (art. 382 al. 1 CPP), et dans les formes prescrites (art. 385 al. 1 CPP), de sorte qu’ils sont recevables. Dans la mesure où ils sont dirigés contre des ordonnances relatives au même complexe de faits et rendues dans le cadre de la même procédure PE17.006968-ERY, ils feront l’objet d’un seul arrêt. I. Recours contre l’ordonnance du 2 février 2018</w:t>
      </w:r>
    </w:p>
    <w:p>
      <w:r>
        <w:rPr>
          <w:b/>
        </w:rPr>
        <w:t>E. 2</w:t>
      </w:r>
    </w:p>
    <w:p>
      <w:r>
        <w:t>CPP), ce qui exclut qu'elle résolve des questions juridiques complexes ou qu'elle attende d'être renseignée de manière exacte et complète sur les faits avant d'agir (ATF 116 Ib 96 consid. 3a ; TF 1B_421/2011 du 22 décembre 2011 consid. 3.1 et 3.3). Par « personne concernée » au sens de l'art. 71 al. 3 CP, on entend non seulement l'auteur, mais aussi, à certaines conditions, un tiers favorisé, d'une manière ou d'une autre, par l'infraction (cf. art. 71 al. 1 CP renvoyant à l'art. 70 al. 2 CP ; TF 1B_213/2013 du 27 septembre 2013 consid. 4.1 ; TF 1B_583/2012 du 31 janvier 2013 consid. 2.1 et les références citées). La jurisprudence a aussi admis qu'un séquestre ordonné sur la base de l'art. 71 al. 3 CP puisse viser les biens d'une société tierce, dans les cas où il convient de faire abstraction de la distinction entre l'actionnaire – auteur présumé – de l'infraction et la société qu'il détient (théorie dite de la transparence [« Durchgriff »]). Il en va de même dans l'hypothèse où le prévenu serait – dans les faits et malgré les apparences – le véritable bénéficiaire des valeurs cédées à un « homme de paille » (« Strohmann ») sur la base d'un contrat simulé (« Scheingeschäft » ; TF 1B_163/2013 du 4 novembre 2013 consid. 4.1.5 ; TF 1B_213/2013 du 27 septembre 2013 consid. 4.1 ; TF 1B_711/2012 du 14 mars 2013 consid. 4.1.2 ; TF 1B_583/2012 du 31 janvier 2013 consid. 2.1 et les références citées).</w:t>
      </w:r>
    </w:p>
    <w:p>
      <w:r>
        <w:rPr>
          <w:b/>
        </w:rPr>
        <w:t>E. 2.1</w:t>
      </w:r>
    </w:p>
    <w:p>
      <w:r>
        <w:t>Aux termes de l’ordonnance de séquestre qu’il a rendue le 3 octobre 2017, le Ministère public a saisi les avoirs bancaires du prévenu et de la société Y.________ Sàrl au motif qu’ils pourraient servir à garantir une créance compensatrice. Le 2 février 2018, il a autorisé la levée partielle du séquestre prononcé sur le compte n° zzz, au nom d’Y.________ Sàrl, afin que les salaires de L.________ et de l’employé de cette société, Q.________, puissent être versés et que les cotisations AVS pour les mois de décembre 2017 et janvier 2018, ainsi que le leasing du véhicule d’Y.________ Sàrl puissent être acquittés. Le procureur a également autorisé la levée mensuelle du séquestre à hauteur de 24'442 fr. 55, afin que les salaires des intéressés puissent être versés. Il a considéré en substance que la destination de l’argent ainsi libéré était justifiée et qu’il était normal que ces derniers reçoivent un salaire pour le travail qu’ils effectuaient. Contestant ce raisonnement, la recourante, qui craint que le prévenu vide les comptes bancaires d’Y.________ Sàrl, soutient, en substance, que le Ministère public se serait fondé sur des allégués et des pièces produites par le prévenu qui ne lui permettaient pas de lever le séquestre. Selon elle, ces pièces ne démontreraient pas l’effectivité des activités menées par Y.________ Sàrl. L.________ soutient pour sa part avoir suffisamment démontré qu’Y.________ Sàrl continuait à mener son activité commerciale, laquelle générait des revenus qui justifiaient le paiement des salaires remis en cause. Il fait valoir qu’il a produit des factures qu’Y.________ Sàrl aurait émises pour son activité de gestion en 2017, faisant état d’un montant total de 147'076 fr. 02 Euros, ainsi que les factures du dernier trimestre 2017 liées à son activité commerciale de vin et faisant état d’un montant total de 375'500 Euros. S’agissant de son véhicule de fonction, l’intimé allègue qu’il lui serait indispensable puisqu’il serait amené à se déplacer pour ses rendez-vous professionnels qui auraient lieu pour la plupart à […] et en France. L.________ soutient ensuite que Q.________ envisagerait désormais de démissionner compte tenu des retards dans le paiement de son salaire et qu’un tel départ pourrait compromettre l’activité d’Y.________ Sàrl. L’intimé allègue enfin que le revenu que lui verse Y.________ Sàrl constituerait sa seule source de revenu.</w:t>
      </w:r>
    </w:p>
    <w:p>
      <w:r>
        <w:rPr>
          <w:b/>
        </w:rPr>
        <w:t>E. 2.2.1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2.2.2</w:t>
      </w:r>
    </w:p>
    <w:p>
      <w:r>
        <w:t>S'agissant en particulier d'un séquestre en vue de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 ATF 137 IV 145 consid. 6.4 et les références citées). L'art. 70 al. 1 CP (Code pénal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 CREP 1 er mars 2016/135 consid. 3.2.2). L'art. 70 al. 2 CP prévoit que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2.2.3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 elle ne joue qu'un rôle de substitution de la confiscation en nature et ne doit donc, par rapport à celle-ci, engendrer ni avantage ni inconvénient (ATF 124 I 6 consid. 4b/bb ; ATF 123 IV 70 consid. 3).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et les références citées).</w:t>
      </w:r>
    </w:p>
    <w:p>
      <w:r>
        <w:rPr>
          <w:b/>
        </w:rPr>
        <w:t>E. 2.2.4</w:t>
      </w:r>
    </w:p>
    <w:p>
      <w:r>
        <w:t>L'art. 71 al. 3 CP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et les arrêts cités). L'autorité doit pouvoir décider rapidement du séquestre (cf. art. 263 al.</w:t>
      </w:r>
    </w:p>
    <w:p>
      <w:r>
        <w:rPr>
          <w:b/>
        </w:rPr>
        <w:t>E. 2.2.5</w:t>
      </w:r>
    </w:p>
    <w:p>
      <w:r>
        <w:t>Sous l’angle du principe de la proportionnalité, enfin, il faut que le séquestre soit apte à produire les résultats escomptés (règle de l’aptitude) et que ceux-ci ne puissent pas être atteints par une mesure moins incisive (règle de la nécessité) (CREP 18 octobre 2013/647 consid. 3a et les références citées).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 Bommer/Goldschmid, in : Niggli/Heer/Wiprächtiger [éd.], op. cit., n. 23 ad art. 263 CPP). En outre, lorsque le séquestre en garantie d'une créance compensatrice porte sur la totalité des revenus, la situation est assimilable à une saisie sur salaire du droit des poursuites. Au regard du principe de proportionnalité, l'autorité pénale doit donc, déjà au stade du séquestre, tenir compte de l'éventuelle atteinte au minimum vital du prévenu (ATF 141 IV 360 consid. 3.4 ; CREP 3 novembre 2016/737 consid. 2 ; CREP 1 er mars 2016/135 consid. 3.3.2).</w:t>
      </w:r>
    </w:p>
    <w:p>
      <w:r>
        <w:rPr>
          <w:b/>
        </w:rPr>
        <w:t>E. 2.3</w:t>
      </w:r>
    </w:p>
    <w:p>
      <w:r>
        <w:t>En l’occurrence, il convient de constater que la recourante n’a pas contesté les ordonnances autorisant une levée partielle du séquestre prononcée en novembre et décembre 2017, pas plus que celle du 23 janvier 2018, sur laquelle il sera revenu dans le cadre du recours séparé contre la décision du 14 février 2018. On peut toutefois s'étonner que le procureur ait levé une partie du séquestre sur la base uniquement des pièces produites par le prévenu, soit de fiches de salaire, de factures d'assurances sociales et de leasing, sans avoir en parallèle procédé aux deux opérations suivantes. En premier lieu, il conviendrait d’exiger du prévenu la production de documents, tels que contrats de vente/d’achat de vin ou de gestion, permettant d'établir l’activité d’Y.________ Sàrl et son ampleur, activité justifiant de salarier deux employés à hauteur respectivement de 13'345 fr. 60 net pour le prévenu et de 11'096 fr. 95 pour Q.________, de même que le paiement du leasing pour une voiture appartenant à la société et dont on discerne mal en l’état pour quel motif il devrait être payé en priorité par une levée partielle du séquestre ; il est nécessaire à ce stade de disposer d'une documentation complète sur la situation de la société Y.________ Sàrl, ses comptes et bilans, ses biens, notamment les voitures, son activité au sein de la fiduciaire qui l'héberge, mais aussi les contrats de travail des deux salariés ; il y a lieu également de disposer d'une documentation complémentaire sur le travail fourni par le prévenu et Q.________ dans le cadre de la société, aux fins de déterminer si leur salaire correspond effectivement à une activité concrètement déployée ou non. Deuxièmement, on ignore quelle est la situation financière globale de L.________, de quelle fortune il dispose et quelles sont ses charges. Il convient en particulier de solliciter du prévenu un état de ses charges permettant de déterminer quel est son minimum vital aux fins de justifier le versement d'un salaire à hauteur de la couverture de celles-ci. En effet, les avoirs étant saisis afin de garantir une éventuelle créance compensatrice, il ne saurait être procédé au versement de la totalité du montant réclamé sans autre contrôle. Le procureur n'a pas effectué à un tel examen. Bien plus, la production des documents démontrant que la société Y.________ Sàrl avait encore une activité et que le prévenu ne cherchait pas à la vider de sa substance n'a pas encore fait l'objet d'un examen attentif, faute de production de documents par le prévenu. Les sources de revenus du prévenu par le biais des autres sociétés impliquées doivent également faire l'objet d'un contrôle rapide afin de déterminer si l'affirmation selon laquelle seule Y.________ Sàrl serait susceptible de verser un revenu au prévenu est exact. Tant que ces contrôles n'ont pas été effectués, il ne saurait être question de verser l'entier des salaires de manière permanente, comme le prévoit l'ordonnance attaquée. Celle-ci doit par conséquent être annulée. II. Recours contre l’ordonnance rectificative du 14 février 2018</w:t>
      </w:r>
    </w:p>
    <w:p>
      <w:r>
        <w:rPr>
          <w:b/>
        </w:rPr>
        <w:t>E. 3.1</w:t>
      </w:r>
    </w:p>
    <w:p>
      <w:r>
        <w:t>Le 23 janvier 2018, le procureur a autorisé la levée partielle du séquestre prononcé sur le compte n° zzz, à hauteur de 54'584 fr. 70, retenant, d’une part, que la destination invoquée de cet argent était adéquate (paiement des salaires, du leasing du véhicule de la société, de factures d’assurance et de la location d’un entrepôt au Port Franc de […]) et, d’autre part, que des versements avaient été effectués sur le compte concerné, ce qui attestait que la société continuait à avoir une activité. Le 14 février 2018, le procureur a rendu une ordonnance rectifiant le montant ainsi libéré, indiquant qu’il avait fait une erreur de calcul. Invoquant les mêmes griefs que dans son recours contre l’ordonnance du 2 février 2018, la recourante ajoute ici que le Ministère public ne connaîtrait ni la nature, ni l’origine, ni la destination des versements effectués sur le compte dont il a fait état. Selon elle, ces versements ne permettraient pas de retenir que l’activité d’Y.________ Sàrl serait effective.</w:t>
      </w:r>
    </w:p>
    <w:p>
      <w:r>
        <w:rPr>
          <w:b/>
        </w:rPr>
        <w:t>E. 3.2</w:t>
      </w:r>
    </w:p>
    <w:p>
      <w:r>
        <w:t>Se pose au préalable la question de savoir dans quelle mesure un recours contre une ordonnance rectificative à forme de l'art. 83 CPP peut porter sur l'entier de la décision, soit également sur la partie ne faisant pas l'objet de la rectification. Selon la doctrine et le peu de jurisprudence sur la question, ce n'est qu'en recevant les explications complètes que le justiciable est en mesure de se déterminer sur l'opportunité de recourir contre la décision litigieuse (Macaluso, in : Kuhn/Jeanneret [éd.], op. cit., n. 13 ad art. 83 CPP), même s'il s'agit d'une rectification d'un calcul (SJ 1987 p. 154). La doctrine émet toutefois une réserve lorsque la rectification ne porte que sur la modification du nom d'une personne ou une date, sans influence sur le sort du litige (Macaluso, op. cit., n. 15 ad art. 83 CPP; Moreillon/Parein-Reymond, op. cit., n. 12 ad art. 83 CPP). En l'espèce, la rectification porte effectivement sur une erreur de calcul de sorte qu'il y a lieu d'admettre que le recours puisse porter sur la levée partielle du séquestre, à hauteur de 55'445 fr. 15, et ses motifs. Sur le fond, la problématique soulevée est identique à celle qui a été analysée sous chiffre I. On peut donc y renvoyer intégralement (consid. 2.2 et 2.3 supra), en relevant à nouveau que la levée partielle du séquestre a été prononcée à hauteur des montants requis, alors même que l’on ignore le montant des charges et la fortune du prévenu, que les documents produits ne permettent pas à eux seuls d’établir à satisfaction de droit l’activité invoquée justifiant le salaire de deux employés dont on ne dispose pas des contrats de travail, qu’on ne dispose d’aucun renseignement comptable sur la situation financière d’Y.________ Sàrl ni de pièce attestant de la nécessité pour la société d'un véhicule qui semble de luxe. Par conséquent, tant l’ordonnance du 14 février 2018 que celle du 23 janvier 2018 doivent être annulées. Après examen, il appartiendra au Procureur de décider s’il demande le remboursement du montant déjà libéré à la suite de l’exécution immédiate de l’ordonnance du 14 février 2018. III. Conclusion, frais et indemnité</w:t>
      </w:r>
    </w:p>
    <w:p>
      <w:r>
        <w:rPr>
          <w:b/>
        </w:rPr>
        <w:t>E. 4</w:t>
      </w:r>
    </w:p>
    <w:p>
      <w:r>
        <w:t>En définitive, les recours doivent être admis. Les ordonnances des 23 janvier, 2 février et 14 février 2018 doivent être annulées et le dossier de la cause renvoyé au Ministère public de l’arrondissement de Lausanne pour qu’il procède dans le sens des considérants qui précèdent. Les frais de la procédure de recours, constitués en l'espèce du seul émolument d'arrêt, par 1’870 fr. (art. 422 al. 1 CPP et 20 al. 1 TFIP [Tarif des frais de procédure et indemnités en matière pénale du 28 septembre 2010 ; RSV 312.03.1]), seront mis à la charge des intimés, solidairement entre eux, dans la mesure où ils succombent (art. 428 al. 1 CPP). La recourante, qui a procédé avec l’assistance d’un avocat de choix et qui a obtenu gain de cause, a droit à une indemnité pour la procédure de recours (art. 436 al. 1 et 433 al. 1 CPP). Au vu des mémoires produits, cette indemnité sera fixée à 1’500 fr., soit cinq heures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 er mars 2017/904) –, par 115 fr. 50, ce qui représente un total de 1'615 fr. 50 francs. Elle sera mise à la charge des intimés, solidairement entre eux. Par ces motifs, la Chambre des recours pénale prononce : I. Les recours sont admis. II. Les ordonnances des 23 janvier, 2 février et 14 février 2018 sont annulées. III. Le dossier de la cause est renvoyé au Ministère public de l’arrondissement de Lausanne pour qu’il procède dans le sens des considérants. IV. Les frais d’arrêt, par 1’870 fr. (mille huit cent septante francs), sont mis à la charge des intimés, Y.________ Sàrl et L.________, solidairement entre eux. V. Une indemnité de 1'615 fr. 50 (mille six cent quinze francs et cinquante centimes) est allouée à E.________ pour les dépenses occasionnées par la procédure de recours, à la charge des intimés, solidairement entre eux. VI. L’arrêt est exécutoire. Le président :               La greffière : Du Le présent arrêt, dont la rédaction a été approuvée à huis clos, est notifié, par l'envoi d'une copie complète, à : - Me Claudio A. Realini, avocat (pour E.________), - Me Charles Poncet, avocat (pour L.________), - Ministère public central, et communiqué à : - M. le Procureur de l’arrondissement de Lausanne, - la banque A.________ AG,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