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25 vom 18. Dezember 2017</w:t>
      </w:r>
    </w:p>
    <w:p>
      <w:r>
        <w:t>VD Tribunal cantonal, 2017-12-18, FR</w:t>
      </w:r>
    </w:p>
    <w:p>
      <w:r>
        <w:rPr>
          <w:b/>
        </w:rPr>
        <w:t xml:space="preserve">Quelle: </w:t>
      </w:r>
      <w:r>
        <w:t>https://mcp.opencaselaw.ch/entscheid/vd_findinfo_D_cision___2018___25</w:t>
      </w:r>
    </w:p>
    <w:p>
      <w:r>
        <w:t>FR: VD_FINDINFO Décision / 2018 / 25 du 18 décembre 2017</w:t>
      </w:r>
    </w:p>
    <w:p>
      <w:r>
        <w:t>IT: VD_FINDINFO Décision / 2018 / 25 del 18 dicembre 2017</w:t>
      </w:r>
    </w:p>
    <w:p>
      <w:pPr>
        <w:pStyle w:val="Heading2"/>
      </w:pPr>
      <w:r>
        <w:t>Regeste</w:t>
      </w:r>
    </w:p>
    <w:p>
      <w:r>
        <w:t>ABUS DE CONFIANCE, DÉCISION D'IRRECEVABILITÉ, ADMISSION DE LA DEMANDE | 138 CP</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Interjeté dans le délai légal par la partie plaignante qui a qualité pour recourir (art. 382 al.</w:t>
      </w:r>
    </w:p>
    <w:p>
      <w:r>
        <w:rPr>
          <w:b/>
        </w:rPr>
        <w:t>E. 1.2</w:t>
      </w:r>
    </w:p>
    <w:p>
      <w:r>
        <w:t>Les éléments nouveaux produits par R.________, soit notamment l’extrait des poursuites de W.________ et les coordonnées et documents concernant [...], éventuelle autre victime (P. 10/2), sont recevables et peuvent être pris en considération au vu de la jurisprudence fédérale en la matière (TF 1B_422/2014 du 20 janvier 2015 consid. 3.1 et la référence citée).</w:t>
      </w:r>
    </w:p>
    <w:p>
      <w:r>
        <w:rPr>
          <w:b/>
        </w:rPr>
        <w:t>E. 2</w:t>
      </w:r>
    </w:p>
    <w:p>
      <w:r>
        <w:t>Une ordonnance de non-entrée en matière, au sens de l'art. 310 CPP, est rendue immédiatement par le ministère public lorsqu'il apparaît notamment, à réception de la plainte ou après une procédure préliminaire limitée aux investigations de la po 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(cf. art. 309 CPP) qui devra être close par une ordonnance de classement dans la mesure où une condamnation apparaît très vraisemblablement exclue (ATF 138 IV 86 consid. 4.1.1; TF 1B_272/2011 du 22 mars 2012 consid. 3.1.1).</w:t>
      </w:r>
    </w:p>
    <w:p>
      <w:r>
        <w:rPr>
          <w:b/>
        </w:rPr>
        <w:t>E. 3.1</w:t>
      </w:r>
    </w:p>
    <w:p>
      <w:r>
        <w:t>L'art. 138 ch. 1 CP (abus de confiance) réprime notamment celui qui, sans droit, aura employé à son profit ou au profit d'un tiers des valeurs patrimoniales qui lui avaient été confiées. Suivant les circonstances, des valeurs patrimoniales remises dans le contexte d'un prêt sont susceptibles d'être qualifiées de valeurs patrimoniales confiées. Il faut toutefois définir de cas en cas si le contrat de prêt à la base de leur remise comporte un devoir, à la charge du bénéficiaire, d'en conserver la contre-valeur (ATF 120 IV 117 consid. 2f). S'agissant d'un prêt, un tel devoir fera en règle générale défaut, puisque le débiteur n'est en principe tenu que de rembourser la somme prêtée (ATF 124 IV 9 consid. 1a). Des fonds prêtés ne représentent d'ailleurs qu'exceptionnellement des valeurs patrimoniales appartenant à autrui. L'appartenance à autrui des valeurs patrimoniales prêtées et le devoir d'en conserver la contre-valeur ( Werterhaltungspflicht ) ne seront retenus que lorsque leur affectation est clairement prédéfinie, et sert dans le même temps à assurer la couverture du risque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sur le tout : Dupuis et alii [éd.], Petit commentaire du Code pénal, 2 e éd., Bâle 2017, n. 35 ad art. 138 CP et les références citées; Corboz, les Infractions en droit suisse, vol. I, 3 e éd., pp. 239 ss ; CREP 24 juin 2017/434 consid. 2.1 et réf.). Du point de vue subjectif, l’auteur doit avoir agi intentionnellement et dans un dessein d’enrichissement illégitime, lequel peut être réalisé par dol éventuel (ATF 118 IV 32 consid. 2a). Celui qui dispose à son profit ou au profit d’un tiers d’un bien qui lui a été confié et qui s’est engagé à tenir le bien confié à disposition de l’ayant droit à un moment déterminé ou à l’échéance d’un délai déterminé s’enrichit illégitimement s’il n’a pas la volonté et la capacité de le restituer à ce moment précis (ATF 118 IV 27 consid. 3a ; TF 6B_613/2016 du 1 er décembre 2016 consid. 4).</w:t>
      </w:r>
    </w:p>
    <w:p>
      <w:r>
        <w:rPr>
          <w:b/>
        </w:rPr>
        <w:t>E. 3.2</w:t>
      </w:r>
    </w:p>
    <w:p>
      <w:r>
        <w:t>En l’occurrence, le contrat passé entre les parties porte l’intitulé « contrat d’investissement ». Ce document prévoit expressément à son chiffre 4 que « l’investissement est accordé dans le but d’investir dans un stock de montres afin de les vendre. L’emprunteur s’engage à n’utiliser la somme remise qu’à cette fin exclusive et à conserver constamment la contre-valeur […] ». Les termes du prêt, ou de l’investissement, étaient clairs : l’argent confié par R.________ à U.________ avait une destination précise et la destination de la contre-valeur également. Or la lecture du dossier, notamment de l’extrait du registre des poursuites de W.________ (P. 7/3), fait douter du respect du contrat et, surtout, de l’affectation correcte des fonds confiés par le plaignant. En l’état, il ne peut pas être exclu que W.________ se soit rendu coupable d’abus de confiance au sens de l’art. 138 CP en utilisant l'argent prêté contrairement à la destination convenue.</w:t>
      </w:r>
    </w:p>
    <w:p>
      <w:r>
        <w:rPr>
          <w:b/>
        </w:rPr>
        <w:t>E. 4</w:t>
      </w:r>
    </w:p>
    <w:p>
      <w:r>
        <w:t>CPP). Le recourant, qui a procédé avec l’assistance d’un avocat de choix et qui a obtenu gain de cause, a droit à une indemnité pour les dépenses occasionnées par la procédure de recours (art. 436 al. 3 CPP). Au vu du mémoire produit, cette indemnité sera fixée à 900 fr. (3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72 fr., soit à 972 fr. au total. Elle sera laissée à la charge de l’Etat. Par ces motifs, la Chambre des recours pénale prononce : I. Le recours est admis. II. L’ordonnance du 14 septembre 2017 est annulée. III. Le dossier de la cause est retourné au Ministère public de l’arrondissement de Lausanne pour qu’il procède dans le sens des considérants. IV. Une indemnité de 972 fr. (neuf cent septante-deux francs) est allouée à R.________ pour la procédure de recours, à la charge de l’Etat V. Les frais d’arrêt, par 660 fr. (six cent soixante francs), sont laissés à la charge de l’Etat. VI. L’arrêt est exécutoire. Le président :               La greffière : Du Le présent arrêt, dont la rédaction a été approuvée à huis clos, est notifié, par l'envoi d'une copie complète, à : - Me Elie Elkaim, avocat (pour R.________), - M.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