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247 vom 23. März 2018</w:t>
      </w:r>
    </w:p>
    <w:p>
      <w:r>
        <w:t>VD Tribunal cantonal, 2018-03-23, FR</w:t>
      </w:r>
    </w:p>
    <w:p>
      <w:r>
        <w:rPr>
          <w:b/>
        </w:rPr>
        <w:t xml:space="preserve">Quelle: </w:t>
      </w:r>
      <w:r>
        <w:t>https://mcp.opencaselaw.ch/entscheid/vd_findinfo_D_cision___2018___247</w:t>
      </w:r>
    </w:p>
    <w:p>
      <w:r>
        <w:t>FR: VD_FINDINFO Décision / 2018 / 247 du 23 mars 2018</w:t>
      </w:r>
    </w:p>
    <w:p>
      <w:r>
        <w:t>IT: VD_FINDINFO Décision / 2018 / 247 del 23 marzo 2018</w:t>
      </w:r>
    </w:p>
    <w:p>
      <w:pPr>
        <w:pStyle w:val="Heading2"/>
      </w:pPr>
      <w:r>
        <w:t>Regeste</w:t>
      </w:r>
    </w:p>
    <w:p>
      <w:r>
        <w:t>PREUVE ILLICITE, CONTRÔLE DE LA CORRESPONDANCE, AVOCAT D'OFFICE, DÉTENU | 141 al. 2 CPP (CH), 235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(Stephenson/Thiriet, in : Niggli/Heer/Wiprächtiger [éd.], Basler Kommentar, Schweizerische Strafprozessordnung, Jugendstrafprozessordnung,</w:t>
      </w:r>
    </w:p>
    <w:p>
      <w:r>
        <w:rPr>
          <w:b/>
        </w:rPr>
        <w:t>E. 2</w:t>
      </w:r>
    </w:p>
    <w:p>
      <w:r>
        <w:t>e éd., Bâle 2014, n. 10 ad art. 393 CPP ; cf. TF 1B_266/2017 du 5 octobre 2017 consid. 2.5 à</w:t>
      </w:r>
    </w:p>
    <w:p>
      <w:r>
        <w:rPr>
          <w:b/>
        </w:rPr>
        <w:t>E. 2.1</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Les preuves qui ont seulement été administrées en violation d’une prescription d’ordre sont néanmoins exploitables conformément à l’art. 141 al. 3 CPP. En vertu de l’art. 141 al. 5 CPP, les pièces relatives aux moyens de preuves non exploitables doivent être retirées du dossier pénal, conservées à part jusqu’à la clôture définitive de la procédure, puis détruites.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JdT 2014 IV 15 ; Message relatif à l’unification du droit de la procédure pénale du 21 décembre 2005, FF 2006 pp. 1057 ss, spéc. 1163).</w:t>
      </w:r>
    </w:p>
    <w:p>
      <w:r>
        <w:rPr>
          <w:b/>
        </w:rPr>
        <w:t>E. 2.2</w:t>
      </w:r>
    </w:p>
    <w:p>
      <w:r>
        <w:t>Aux termes de l'art. 223 al. 2 CPP, qui règle les relations du prévenu avec son défenseur durant la procédure de détention (cf. le titre marginal de l’art. 223 CPP et l’alinéa 1 de cette disposition), tout prévenu peut communiquer en tout temps et sans surveillance avec son défenseur, que ce soit oralement ou par écrit, pendant la procédure de détention devant le ministère public et les tribunaux. Cette disposition s’applique essentiellement aux cas dans lesquels ni la détention provisoire ni celle pour des motifs de sûreté n’a encore été ordonnée, soit lorsque la procédure en question est encore en cours ; une fois la détention ordonnée et durant la procédure de prolongation, c’est l’art. 235 al. 4 CPP qui s’applique (Moreillon/Parein-Reymond, Petit commentaire du CPP, 2 e éd., Bâle 2016, n. 4 ad art. 223 CPP ; Matthias Härri, in : Niggli/Heer/Wiprächtiger [éd.], op. cit., n. 56 ad art. 235 CPP). Selon l’art. 235 CPP, tout contact entre le prévenu en détention avant jugement et des tiers est soumis à l’autorisation de la directement de la procédure (al. 2), et celle-ci contrôle le courrier entrant et sortant (al. 3, 1 re phrase). Toutefois, l’art. 235 al. 4 CPP dispose que le prévenu en détention peut communiquer librement avec son défenseur et sans que le contenu de leurs échanges soit contrôlé ; s’il existe un risque fondé d’abus, la direction de la procédure peut, avec l’accord du tribunal des mesures de contrainte, limiter temporairement les relations du prévenu avec son défenseur; elle les en informe préalablement. Le droit du prévenu de communiquer sans surveillance avec son défenseur figure parmi les exigences élémentaires du procès équitable dans une société démocratique et découle de l'art. 6 ch. 3 let. c CEDH (ATF 121 I 164 consid. 2c et les réf. ; Härri, op. cit., n. 52 ad art. 235 CP et les références citées).</w:t>
      </w:r>
    </w:p>
    <w:p>
      <w:r>
        <w:rPr>
          <w:b/>
        </w:rPr>
        <w:t>E. 2.3</w:t>
      </w:r>
    </w:p>
    <w:p>
      <w:r>
        <w:t>Il est incontestable que le droit du prévenu de communiquer librement avec son défenseur, sans que le contenu de leurs échanges soit contrôlé, est une règle de validité (cf. consid. 2.1 supra), de sorte que les preuves qui ont été administrées en violation de ce droit par les autorités pénales ne sont pas exploitables, à moins que leur exploitation soit indispensable pour élucider des infractions graves (art. 141 al. 2 CPP).</w:t>
      </w:r>
    </w:p>
    <w:p>
      <w:r>
        <w:rPr>
          <w:b/>
        </w:rPr>
        <w:t>E. 2.4</w:t>
      </w:r>
    </w:p>
    <w:p>
      <w:r>
        <w:t>En l’espèce, il est établi que le Ministère public a lu deux lettres que le recourant avait placées dans une enveloppe expressément adressée à son défenseur d'office, l’une d’elles étant destinée directement à son avocate et l'autre à son amie, F.________. Un tel procédé contrevient à l’évidence à l’art. 235 al. 4 CPP et entraîne l’inexploitabilité de la preuve ainsi obtenue, à savoir de la lettre adressée par le recourant à F.________ dont une copie a été versée au dossier sous pièce 86. Les explications données à ce propos par la procureure, si elles permettent de comprendre pourquoi celle-ci a pris connaissance du contenu du pli non scellé contenant la lettre litigieuse, ne sauraient remettre en cause le caractère inexploitable de ce document, au sens de l’art. 141 al. 2 CPP, dans la mesure où il n’est pas prétendu qu’il s’agisse d’une preuve dont l’exploitation serait indispensable pour élucider des infractions graves. En effet, cette lettre a été retournée au prévenu – conformément à la pratique qui veut que le courrier qui est censuré doit être bloqué par la direction de la procédure, laquelle peut ensuite le retourner à l'expéditeur ou le verser au dossier, accompagné ou non d'un avis, mais doit dans tous les cas en conserver une copie pour appuyer la décision de censure (Moreillon/Parein-Reymond, op. cit., n. 19 ad art. 235 CPP et les références citées) – au motif qu’à la fin de celle-ci, le prévenu invitait sa compagne à entreprendre une démarche en lien avec l'enquête qui n'était pas exprimée clairement. On constate à la lecture de la pièce 86 que l’allusion à cette démarche tient en une seule phrase, au dernier paragraphe de la lettre litigieuse, qui est la suivante : « Et il faudra aussi aller faire la promesse a la police que tu m'avait dit à mon sujet BB ». Or, on ne voit pas en quoi l’exploitation de cet élément serait indispensable pour élucider une infraction grave ; la procureure ne le prétend d’ailleurs pas, puisqu’elle allègue uniquement la nécessité de prévenir le risque de collusion.</w:t>
      </w:r>
    </w:p>
    <w:p>
      <w:r>
        <w:rPr>
          <w:b/>
        </w:rPr>
        <w:t>E. 2.5</w:t>
      </w:r>
    </w:p>
    <w:p>
      <w:r>
        <w:t>Il résulte de ce qui précède que la pièce 86, qui est inexploitable, doit, conformément à l’art. 141 al. 5 CPP, être retirée du dossier, conservée à part jusqu’à la clôture définitive de la procédure, puis être détruite.</w:t>
      </w:r>
    </w:p>
    <w:p>
      <w:r>
        <w:rPr>
          <w:b/>
        </w:rPr>
        <w:t>E. 2.9</w:t>
      </w:r>
    </w:p>
    <w:p>
      <w:r>
        <w:t>; CREP 28 septembre 2017/660 consid. 1, et les références citées).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RSV 312.01] ; art. 80 LOJV [Loi d’organisation judiciaire ; RSV 173.01]). En l’espèce, interjeté dans le délai légal auprès de l’autorité compétente par le prévenu qui a qualité pour recourir (art. 382 al. 1 CPP ; cf., en ce sens, TF 1B_266/2017 du 5 octobre 2017 consid. 2.9, précité) et dans les formes prescrites (art. 385 al. 1 CPP), le recours est recevable.</w:t>
      </w:r>
    </w:p>
    <w:p>
      <w:r>
        <w:rPr>
          <w:b/>
        </w:rPr>
        <w:t>E. 3</w:t>
      </w:r>
    </w:p>
    <w:p>
      <w:r>
        <w:t>En définitive, le recours doit être admis et l’ordonnance attaquée réformée dans le sens des considérants qui précèdent (cf. consid. 2.5 supra). Les frais de la procédure de recours, constitués en l’espèce de l’émolument d'arrêt, par 770 fr. (art. 20 al. 1 TFIP [Tarif des frais de procédure et indemnités en matière pénale du 28 septembre 2010 ; RSV 312.03.1]) et des frais imputables à la défense d’office (art. 422 al. 1 et 2 let. a CPP), fixés à 540 fr., plus la TVA par 41 fr. 60, soit un total de 581 fr. 60, seront laissés à la charge de l’Etat (art. 423 al. 1 CPP). Par ces motifs, la Chambre des recours pénale prononce : I. Le recours est admis. II. L’ordonnance du 6 mars 2018 est réformée en ce sens que la copie de la lettre non datée que U.________ entendait adresser à F.________ et qui a été versée au dossier sous pièce 86 est retirée du dossier pénal pour être conservée à part jusqu’à la clôture définitive de la procédure, puis sera détruite. III. L’indemnité allouée au défenseur d’office de U.________ est fixée à 581 fr. 60 (cinq cent huitante et un francs et soixante centimes). IV. Les frais d’arrêt, par 770 fr. (sept cent septante francs), ainsi que l’indemnité due au défenseur d’office de U.________, par 581 fr. 60 (cinq cent huitante et un francs et soixante centimes), sont laissés à la charge de l’Etat. V. L’arrêt est exécutoire. Le président :               Le greffier : Du Le présent arrêt, dont la rédaction a été approuvée à huis clos, est notifié, par l'envoi d'une copie complète, à : - Me Anna Zangger, avocate (pour U.________), - Me Coralie Germond, avocate (pour X.________), - Me Stève Kalbermatten, avocat (pour N.________), - Me Céline Jarry-Lacombe, avocate (pour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