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246 vom 26. März 2018</w:t>
      </w:r>
    </w:p>
    <w:p>
      <w:r>
        <w:t>VD Tribunal cantonal, 2018-03-26, FR</w:t>
      </w:r>
    </w:p>
    <w:p>
      <w:r>
        <w:rPr>
          <w:b/>
        </w:rPr>
        <w:t xml:space="preserve">Quelle: </w:t>
      </w:r>
      <w:r>
        <w:t>https://mcp.opencaselaw.ch/entscheid/vd_findinfo_D_cision___2018___246</w:t>
      </w:r>
    </w:p>
    <w:p>
      <w:r>
        <w:t>FR: VD_FINDINFO Décision / 2018 / 246 du 26 mars 2018</w:t>
      </w:r>
    </w:p>
    <w:p>
      <w:r>
        <w:t>IT: VD_FINDINFO Décision / 2018 / 246 del 26 marzo 2018</w:t>
      </w:r>
    </w:p>
    <w:p>
      <w:pPr>
        <w:pStyle w:val="Heading2"/>
      </w:pPr>
      <w:r>
        <w:t>Regeste</w:t>
      </w:r>
    </w:p>
    <w:p>
      <w:r>
        <w:t>RÉCUSATION, ADMISSION DE LA DEMANDE | 56 let. f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 Tribunal de l’arrondissement de [...] (art. 59 al. 1 let. b CPP et art. 13 al. 1 LVCPP [Loi d’introduction du Code de procédure pénale suisse du 19 mai 2009 ; RSV 312.01] ; CREP 17 mars 2017/182 consid. 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138 IV 142 consid. 2.1 ; TF 1B_306/2016 du 23 novembre 2016 consid. 2.1 ; TF 1B_150/2016 du 19 mai 2016 consid. 2.1 ; TF 1B_435/2015 du 25 février 2016 consid. 2.1).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 demander la récusation d'un juge dont la situation ou le comportement est de nature à susciter des doutes quant à son impartialité (ATF 142 III 521 consid. 3.1.1 ; ATF 139 III 120 consid. 3.2.1 ; ATF 138 I 425 consid. 4.2.1 ; ATF 136 III 605 consid. 3.2.1 ; ATF 134 I 20 consid. 4.2 ; TF 1B_352/2015 du 27 octobre 2015 consid. 2.1). La récusation ne s'impose pas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 les impressions purement individuelles d'une des parties au procès ne sont pas décisives (ATF 142 III 521 consid. 3.1.1 ; ATF 138 IV 142 consid. 2.1 ; ATF 136 III 605 consid. 3.2.1 ; TF 1B_150/2016 du 19 mai 2016 consid. 2.1).</w:t>
      </w:r>
    </w:p>
    <w:p>
      <w:r>
        <w:rPr>
          <w:b/>
        </w:rPr>
        <w:t>E. 2.2</w:t>
      </w:r>
    </w:p>
    <w:p>
      <w:r>
        <w:t>La Présidente du Tribunal de l’arrondissement de [...] a demandé la récusation en corps de son tribunal, au motif que le prévenu est le père de B.X.________, lequel œuvre en qualité de gestionnaire de dossiers au sein de cet office. Elle estime que ce lien de parenté serait de nature à faire naître des doutes quant à l’apparence d’impartialité du juge qui sera appelé à statuer dans le cadre de cette affaire. En l’espèce, cette argumentation doit être suivie. En effet, eu égard à sa fonction dans le tribunal, le fils du prévenu entretient des relations professionnelles régulières avec les membres de cette juridiction, de sorte qu’il pourrait en résulter une apparence de prévention, à tout le moins aux yeux de la partie plaignante ou des tiers. Par ailleurs, vu la nature de l’affaire, il est judicieux que les collègues de B.X.________ ne soient pas amenés à prendre connaissance du dossier de la cause.</w:t>
      </w:r>
    </w:p>
    <w:p>
      <w:r>
        <w:rPr>
          <w:b/>
        </w:rPr>
        <w:t>E. 3</w:t>
      </w:r>
    </w:p>
    <w:p>
      <w:r>
        <w:t>Il découle de ce qui précède que la demande de récusation doit être admise et le dossier de la cause délégué au Tribunal de l’arrondissement [...] (art. 4a al.</w:t>
      </w:r>
    </w:p>
    <w:p>
      <w:r>
        <w:rPr>
          <w:b/>
        </w:rPr>
        <w:t>E. 4</w:t>
      </w:r>
    </w:p>
    <w:p>
      <w:r>
        <w:t>LVCPP). Les frais de la présente décision, par 440 fr. (art. 422 al. 1 CPP et 20 al. 1 TFIP [Tarif des frais de procédure et indemnités en matière pénale du 28 septembre 2010 ; RSV 312.03.1]), seront laissés à la charge de l’Etat (art. 59 al. 4 CPP). Par ces motifs, la Chambre des recours pénale prononce : I. La demande de récusation du Tribunal de l’arrondissement de [...] présentée le 5 mars 2018 est admise. II. La cause est transmise au Tribunal de l’arrondissement [...]. III. Les frais de la présente décision, par 440 fr. (quatre cent quarante francs), sont laissés à la charge de l'Etat. IV. La décision est exécutoire. Le président :               Le greffier : Du La présente décision, dont la rédaction a été approuvée à huis clos, est notifiée, par l'envoi d'une copie complète, à : - Mme la Présidente du Tribunal de l’arrondissement de [...], - Me Marie-Pomme Moinat, avocate (pour [...]), - Me Loïc Parein, avocat (pour A.X.________), - Ministère public central, et communiquée à : - Mme la Procureure de l’arrondissement [...], - M. le Premier président du Tribunal de l’arrondissement [...], avec le dossier,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