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231 vom 19. März 2018</w:t>
      </w:r>
    </w:p>
    <w:p>
      <w:r>
        <w:t>VD Tribunal cantonal, 2018-03-19, FR</w:t>
      </w:r>
    </w:p>
    <w:p>
      <w:r>
        <w:rPr>
          <w:b/>
        </w:rPr>
        <w:t xml:space="preserve">Quelle: </w:t>
      </w:r>
      <w:r>
        <w:t>https://mcp.opencaselaw.ch/entscheid/vd_findinfo_D_cision___2018___231</w:t>
      </w:r>
    </w:p>
    <w:p>
      <w:r>
        <w:t>FR: VD_FINDINFO Décision / 2018 / 231 du 19 mars 2018</w:t>
      </w:r>
    </w:p>
    <w:p>
      <w:r>
        <w:t>IT: VD_FINDINFO Décision / 2018 / 231 del 19 marzo 2018</w:t>
      </w:r>
    </w:p>
    <w:p>
      <w:pPr>
        <w:pStyle w:val="Heading2"/>
      </w:pPr>
      <w:r>
        <w:t>Regeste</w:t>
      </w:r>
    </w:p>
    <w:p>
      <w:r>
        <w:t>RISQUE DE FUITE, PROPORTIONNALITÉ, DÉTENTION POUR DES MOTIFS DE SÛRETÉ | 212 al. 3 CPP (CH),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d’U.________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w:t>
      </w:r>
    </w:p>
    <w:p>
      <w:r>
        <w:t>En l’espèce, le recourant ne conteste pas, à juste titre, l’existence d'indices de culpabilité suffisants.</w:t>
      </w:r>
    </w:p>
    <w:p>
      <w:r>
        <w:rPr>
          <w:b/>
        </w:rPr>
        <w:t>E. 4.1</w:t>
      </w:r>
    </w:p>
    <w:p>
      <w:r>
        <w:t>Le recourant conteste l’existence d’un risque de fuite (art. 221 al. 1 let. a CPP). Il fait valoir qu’il bénéficie d’un permis de séjour en Italie et que ce pays collabore activement avec la Suisse.</w:t>
      </w:r>
    </w:p>
    <w:p>
      <w:r>
        <w:rPr>
          <w:b/>
        </w:rPr>
        <w:t>E. 4.2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ATF 117 Ia 69 consid. 4a; TF 1B_154/2015 du 13 mai 2015 consid. 3.1; TF 1B_87/2014 du 19 mars 2014 consid. 3.1;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Le danger de fuite existe également lorsque le prévenu entend se rendre dans un pays qui autoriserait l'extradition à la Suisse (ATF 123 I 31 consid. 3.).</w:t>
      </w:r>
    </w:p>
    <w:p>
      <w:r>
        <w:rPr>
          <w:b/>
        </w:rPr>
        <w:t>E. 4.3</w:t>
      </w:r>
    </w:p>
    <w:p>
      <w:r>
        <w:t>En l’occurrence, le Tribunal des mesures de contrainte a retenu l’existence d’un risque de fuite. A juste titre, dès lors que le recourant a lui-même indiqué, lors de son audition par la Procureure le 23 septembre 2017, que s’il devait quitter la Suisse en raison de ses activités délictueuses, ce serait pour retourner en Albanie, non en Italie (PV aud. du 23 septembre 2017, l. 66 s.). Au demeurant, un risque de fuite suffit à motiver une mise en détention provisoire ou en détention pour motifs de sûreté même s’il est probable que le prévenu s’enfuira dans un pays lié à la Suisse par un accord d’extradition. Au regard des faits qui lui sont reprochés et de la peine à laquelle il est exposé, le risque que le recourant prenne la fuite ou tombe dans la clandestinité pour se soustraire à l’action pénale est manifeste.</w:t>
      </w:r>
    </w:p>
    <w:p>
      <w:r>
        <w:rPr>
          <w:b/>
        </w:rPr>
        <w:t>E. 5</w:t>
      </w:r>
    </w:p>
    <w:p>
      <w:r>
        <w:t>Aucune mesure de substitution ne serait propre à pallier l’existence du risque de fuite, l’engagement pris par le prévenu de se présenter à toute convocation des autorités apparaissant largement insuffisant dès lors qu’il est à craindre que l’intéressé mette sa liberté à profit pour prendre la fuite ou tomber dans la clandestinité.</w:t>
      </w:r>
    </w:p>
    <w:p>
      <w:r>
        <w:rPr>
          <w:b/>
        </w:rPr>
        <w:t>E. 6</w:t>
      </w:r>
    </w:p>
    <w:p>
      <w:r>
        <w:t>Les conditions de l’art. 221 al. 1 CPP étant alternatives (Moreillon/ Parein-Reymond, Petit commentaire, Code de procédure pénale, 2 e éd., Bâle 2016, n. 7 ad art. 221 CPP), l’existence d’un risque de fuite dispense d’examiner si la détention provisoire s’impose également en raison de l’existence d’un risque de collusion et de réitération.</w:t>
      </w:r>
    </w:p>
    <w:p>
      <w:r>
        <w:rPr>
          <w:b/>
        </w:rPr>
        <w:t>E. 7.1</w:t>
      </w:r>
    </w:p>
    <w:p>
      <w:r>
        <w:t>Le recourant se plaint d’une violation du principe de la proportionnalité. Il fait valoir que la peine qui devrait être prononcée contre lui s’il est reconnu coupable ne devrait pas excéder sept à neuf mois de privation de liberté.</w:t>
      </w:r>
    </w:p>
    <w:p>
      <w:r>
        <w:rPr>
          <w:b/>
        </w:rPr>
        <w:t>E. 7.2</w:t>
      </w:r>
    </w:p>
    <w:p>
      <w:r>
        <w:t>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7.3</w:t>
      </w:r>
    </w:p>
    <w:p>
      <w:r>
        <w:t>En l’espèce, le recourant est prévenu d’infraction à la LStup, délit puni d’une peine pécuniaire ou d’une peine privative de liberté de trois ans au plus (art. 19 ch. 1). Il lui est reproché d’avoir vendu et/ou possédé un total de 87 grammes d’héroïne (40 + 5 + 42). Les stupéfiants trouvés lors de la perquisition au domicile du prévenu présentaient, selon analyse, un taux de pureté moyen de 11.5%. En faisant application de ce taux, plus favorable que le taux moyen de 15% pour l’année 2017, la quantité totale d’héroïne pure représenterait 10 grammes, soit un chiffre inférieur à la quantité de 12 grammes requise pour constituer un cas grave selon la jurisprudence du Tribunal fédéral (cf. notamment ATF 109 IV 43), pour lequel la loi prévoit une peine minimale d’un an de privation de liberté (art. 19 ch. 2 LStup). Toutefois, le cadre de la peine du cas simple allant jusqu’à trois ans de privation de liberté, rien ne permet de tenir pour acquis que le prévenu, s’il est reconnu coupable, encourra concrètement une peine inférieure à un an de privation de liberté, encore moins une peine de l’ordre de sept à neuf mois de privation de liberté seulement. Bien au contraire, le recourant semble n’avoir résidé que trois semaines en Suisse et avoir néanmoins vendu neuf fois un paquet de 5 grammes d’héroïne et avoir été en possession de 42 grammes au moment où son activité s’est arrêtée. Ces éléments dénotent, s’il est reconnu coupable, une intensité particulière de la volonté délictueuse, alourdissant suffisamment la culpabilité pour qu’une peine supérieure à un an de privation de liberté soit concrètement envisageable. Dans ces conditions, la mise en détention pour des motifs de sûretés du recourant – détenu depuis le 21 septembre 2017 – jusqu’au 11 juillet 2018 au maximum, l’audience de jugement ayant été fixée au 4 juillet 2018, ce qui ferait un total de quelque neuf mois et demi de détention avant jugement, n’est pas disproportionnée.</w:t>
      </w:r>
    </w:p>
    <w:p>
      <w:r>
        <w:rPr>
          <w:b/>
        </w:rPr>
        <w:t>E. 8</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d’U.________qui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mars 2018 est confirmée. III. L’indemnité allouée au défenseur d’office d’U.________ est fixée à 581 fr. 60 (cinq cent huitante-et-un francs et soixante centimes). IV. Les frais d’arrêt, par 880 fr. (huit cent huitante francs), ainsi que l’indemnité due au défenseur d’office d’U.________, par 581 fr. 60 (cinq cent huitante-et-un francs et soixante centimes), sont mis à la charge d’U.________. V. Le remboursement à l'Etat de l'indemnité allouée au chiffre III ci-dessus ne sera exigible que pour autant que la situation économique d’U.________ le permette. VI. L’arrêt est exécutoire. Le président :               Le greffier : Du Le présent arrêt, dont la rédaction a été approuvée à huis clos, est notifié, par l'envoi d'une copie complète, à : - Me David Moinat, avocat (pour U.________), - Ministère public central ; et communiqué à : - Mme la Présidente du Tribunal des mesures de contrainte, - Mme la Procureure cantonale Strada, - Tribunal d’arrondissement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