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223 vom 12. April 2018</w:t>
      </w:r>
    </w:p>
    <w:p>
      <w:r>
        <w:t>VD Tribunal cantonal, 2018-04-12, FR</w:t>
      </w:r>
    </w:p>
    <w:p>
      <w:r>
        <w:rPr>
          <w:b/>
        </w:rPr>
        <w:t xml:space="preserve">Quelle: </w:t>
      </w:r>
      <w:r>
        <w:t>https://mcp.opencaselaw.ch/entscheid/vd_findinfo_D_cision___2018___223</w:t>
      </w:r>
    </w:p>
    <w:p>
      <w:r>
        <w:t>FR: VD_FINDINFO Décision / 2018 / 223 du 12 avril 2018</w:t>
      </w:r>
    </w:p>
    <w:p>
      <w:r>
        <w:t>IT: VD_FINDINFO Décision / 2018 / 223 del 12 aprile 2018</w:t>
      </w:r>
    </w:p>
    <w:p>
      <w:pPr>
        <w:pStyle w:val="Heading2"/>
      </w:pPr>
      <w:r>
        <w:t>Regeste</w:t>
      </w:r>
    </w:p>
    <w:p>
      <w:r>
        <w:t>RESTITUTION DU DÉLAI, OPPOSITION{PROCÉDURE} | 354 CPP (CH), 356 al. 2 CPP (CH), 94 CPP (CH)</w:t>
      </w:r>
    </w:p>
    <w:p>
      <w:pPr>
        <w:pStyle w:val="Heading2"/>
      </w:pPr>
      <w:r>
        <w:t>Erwägungen</w:t>
      </w:r>
    </w:p>
    <w:p>
      <w:r>
        <w:rPr>
          <w:b/>
        </w:rPr>
        <w:t>E. 1</w:t>
      </w:r>
    </w:p>
    <w:p>
      <w:r>
        <w:t>Aux termes de l’art. 393 al. 1 let. a CPP (Code de procédure pénale suisse du 5 octobre 2007 ; RS 312.0), un recours peut être formé notamment contre les décisions et les actes de procédure du Ministère public. Une ordonnance par laquelle le Ministère public refuse la restitution du délai pour former opposition est ainsi susceptible de recours au sens des art. 393 ss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en temps utile auprès de l’autorité compétente par le prévenu, qui a qualité pour recourir (art. 382 al. 1 CPP), et dans les formes prescrites (art. 385 al. 1 CPP), le recours est recevable.</w:t>
      </w:r>
    </w:p>
    <w:p>
      <w:r>
        <w:rPr>
          <w:b/>
        </w:rPr>
        <w:t>E. 2.1</w:t>
      </w:r>
    </w:p>
    <w:p>
      <w:r>
        <w:t>Le recourant conteste le refus de restitution du délai pour former opposition. Il fait valoir, en substance, qu’il ne pouvait pas s’attendre à recevoir une décision le concernant et qu’il n’aurait pris connaissance de l’avis l’invitant à retirer le pli recommandé qu’à son retour de vacances, soit trois jours après l’échéance du délai de garde fixé au 25 août 2017. Dans la mesure où la Poste avait déjà retourné le pli, il n’aurait eu aucun moyen de réagir utilement, et ce, alors même que le délai d’opposition n’était pas encore échu. Le recourant fait en dernier lieu valoir qu’il aurait contesté la validité de la notification de l’ordonnance du 17 août 2017 et qu’il appartenait au Tribunal de première instance de trancher cette question, avant que le Procureur statue sur sa demande de restitution de délai.</w:t>
      </w:r>
    </w:p>
    <w:p>
      <w:r>
        <w:rPr>
          <w:b/>
        </w:rPr>
        <w:t>E. 2.2.1</w:t>
      </w:r>
    </w:p>
    <w:p>
      <w:r>
        <w:t>En vertu de l’art. 354 al. 1 let. a CPP, le prévenu peut former opposition contre une ordonnance pénale auprès du Ministère public qui a statué, par écrit dans les dix jours dès la notification de l’ordonnance pénale. Le délai de dix jours pour former opposition – qui ne peut être prolongé (cf. art. 89 al. 1 CPP) – commence à courir le jour qui suit la notification de l’ordonnance entreprise (art. 90 al. 1 CPP). L’acte d’opposition doit être remis au plus tard le dernier jour du délai à l’autorité pénale, à la Poste suisse, à une représentation consulaire ou diplomatique suisse ou, s’agissant de personnes détenues, à la direction de l’établissement carcéral (cf. art. 91 al. 2 CPP).</w:t>
      </w:r>
    </w:p>
    <w:p>
      <w:r>
        <w:rPr>
          <w:b/>
        </w:rPr>
        <w:t>E. 2.2.2</w:t>
      </w:r>
    </w:p>
    <w:p>
      <w:r>
        <w:t>Selon l’art. 94 CPP, une partie peut demander la restitution d’un délai si elle a été empêchée de l’observer et qu’elle est de ce fait exposée à un préjudice important et irréparable ; elle doit toutefois rendre vraisemblable que le défaut n’est imputable à aucune faute de sa part (al. 1).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 Il est exigé qu’il ait été absolument impossible à la personne concernée de respecter le délai ou de charger un tiers de faire le nécessaire afin de le conserver (TF 6B_125/2011 du 7 juillet 2011). Une restitution au sens de l'art. 94 CPP ne peut ainsi intervenir que lorsqu'un événement, par exemple une maladie ou un accident, met la partie objectivement ou subjectivement dans l'impossibilité d'agir par elle-même ou de charger une tierce personne d'agir en son nom dans le délai (TF 6B_1187/2016 du 6 juillet 2017 consid. 1.2 et les réf. citées). En cas d’absence de longue durée, on peut attendre de la personne concernée qu’elle prenne les mesures nécessaires pour faire suivre son courrier, même si elle ignore qu’elle pourrait être impliquée dans une procédure. A fortiori, la personne qui est au courant qu’une procédure est en cours doit s’attendre à recevoir des communications officielles et est tenue de prendre, par conséquent, les mesures nécessaires à la sauvegarde d’un éventuel délai qui pourrait lui être imparti (ATF 130 III 396 consid. 1.2.3, JdT 2005 II 87 ; TF 6B_1187/2016 du 6 juillet 2017 consid. 1.2). La faute de l'auxiliaire, notamment d'un parent, est imputable à la partie concernée (TF 6B_1187/2016 du 6 juillet 2017 consid. 1.2 ; ATF 114 Ib 67 consid. 2 et 3 ; TF 6B_503/2013 du 27 août 2013 consid. 3.1).</w:t>
      </w:r>
    </w:p>
    <w:p>
      <w:r>
        <w:rPr>
          <w:b/>
        </w:rPr>
        <w:t>E. 2.2.3</w:t>
      </w:r>
    </w:p>
    <w:p>
      <w:r>
        <w:t>Un prononcé qui n'a pas été valablement notifié ne déploie aucun effet juridique ; les délais ne commencent pas à courir. Une restitution pour cause d'inobservation de délais au sens de l'art. 94 CPP n'entre dès lors pas en ligne de compte. La question de la restitution du délai d'opposition contre une ordonnance pénale ne se pose ainsi que dans l'hypothèse où le délai n'a pas été observé. Cela suppose que le délai d'opposition ait couru, ce qui suppose à son tour que l'ordonnance pénale ait été valablement notifiée, que ce soit réellement ou fictivement (ATF 142 IV 201 consid. 2.4, JdT 2017 IV 80). La question de la validité de la notification ne doit pas être tranchée par le Ministère public comme s'il s'agissait d'une question préjudicielle, dans le cadre de la procédure en restitution de délai au sens de l'art. 94 CPP, mais par le Tribunal de première instance, dans le cadre de la procédure d'opposition, conformément à l'art. 356 al. 2 CPP (ATF 142 IV 201 précité  consid. 2.4 ; CREP 24 avril 2017/266 consid. 3.3). Le Ministère public doit ainsi suspendre une éventuelle procédure de restitution jusqu’à ce que le Tribunal de première instance ait statué sur la question de savoir si l’ordonnance pénale a été valablement notifiée et si le délai n’a pas été observé (ATF 142 IV 201 précité  consid. 2.5 ; CREP 15 juin 2017/392 consid. 4.2).</w:t>
      </w:r>
    </w:p>
    <w:p>
      <w:r>
        <w:rPr>
          <w:b/>
        </w:rPr>
        <w:t>E. 2.3</w:t>
      </w:r>
    </w:p>
    <w:p>
      <w:r>
        <w:t>En l’espèce, le recourant a, par courrier du 20 novembre 2017, expressément requis que le dossier de la cause soit transmis au Tribunal de première instance afin qu’il statue sur la validité de l’ordonnance pénale et de son opposition (P. 14, p. 2 ch. 5). Dans ces circonstances, le Procureur ne pouvait pas statuer sur la demande de restitution de délai formé par le recourant sans transmettre au préalable le dossier au Tribunal de police et attendre la décision de ce dernier conformément à la jurisprudence susmentionnée.</w:t>
      </w:r>
    </w:p>
    <w:p>
      <w:r>
        <w:rPr>
          <w:b/>
        </w:rPr>
        <w:t>E. 3</w:t>
      </w:r>
    </w:p>
    <w:p>
      <w:r>
        <w:t>En définitive, le recours formé par M.________ doit être admis et l’ordonnance du 17 décembre 2017 annulée, le dossier étant renvoyé au Tribunal de de police de l’arrondissement de la Broye et du Nord vaudois pour qu’il procède dans le sens des considérants qui précèdent. Les frais de la procédure de recours, constitués en l'espèce du seul émolument d'arrêt, par 770 fr. (art. 422 al. 1 CPP et 20 al. 1 TFIP [Tarif des frais de procédure et indemnités en matière pénale du 28 septembre 2010 ; RSV 312.03.1]), seront laissés à la charge de l’Etat (art. 423 al. 1 CPP). Le recourant, qui a procédé avec l’assistance d’un avocat de choix et qui a obtenu gain de cause, a droit à une indemnité pour la procédure de recours (art. 436 al. 3 CPP). Au vu du mémoire produit, cette indemnité sera fixée à 900 fr., correspondant à trois heures d’activité au tarif horaire d’avocat de 300 fr. (art. 26a al. 3 TFIP),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 er mars 2017/904) –, par 69 fr. 30, ce qui représente un total de 969 fr. 30. Elle sera laissée à la charge de l’Etat. Par ces motifs, la Chambre des recours pénale prononce : I. Le recours est admis. II. L’ordonnance du 14 décembre 2017 est annulée. III. Le dossier de la cause est renvoyé au Tribunal de police de l’arrondissement de la Broye et du Nord vaudois pour qu’il procède dans le sens des considérants. IV. Une indemnité de 969 fr. 30 (neuf cent soixante-neuf francs et trente centimes) est allouée à M.________ pour les dépenses occasionnées par la procédure de recours, à la charge de l’Etat. V. Les frais du présent arrêt, par 770 fr. (sept cent septante francs), sont laissés à la charge de l’Etat. VI. L’arrêt est exécutoire. Le président :               La greffière : Du Le présent arrêt, dont la rédaction a été approuvée à huis clos, est notifié, par l'envoi d'une copie complète, à : - Me Philippe Rossy, avocat (pour M.________), - Ministère public central, et communiqué à : - M. le Procureur de l’arrondissement du Nord vaudois, - Tribunal de police de l’arrondissement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