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21 vom 22. Dezember 2017</w:t>
      </w:r>
    </w:p>
    <w:p>
      <w:r>
        <w:t>VD Tribunal cantonal, 2017-12-22, FR</w:t>
      </w:r>
    </w:p>
    <w:p>
      <w:r>
        <w:rPr>
          <w:b/>
        </w:rPr>
        <w:t xml:space="preserve">Quelle: </w:t>
      </w:r>
      <w:r>
        <w:t>https://mcp.opencaselaw.ch/entscheid/vd_findinfo_D_cision___2018___21</w:t>
      </w:r>
    </w:p>
    <w:p>
      <w:r>
        <w:t>FR: VD_FINDINFO Décision / 2018 / 21 du 22 décembre 2017</w:t>
      </w:r>
    </w:p>
    <w:p>
      <w:r>
        <w:t>IT: VD_FINDINFO Décision / 2018 / 21 del 22 dicembre 2017</w:t>
      </w:r>
    </w:p>
    <w:p>
      <w:pPr>
        <w:pStyle w:val="Heading2"/>
      </w:pPr>
      <w:r>
        <w:t>Regeste</w:t>
      </w:r>
    </w:p>
    <w:p>
      <w:r>
        <w:t>ORDONNANCE DE SÉQUESTRE, CONFISCATION{DROIT PÉNAL}, PREUVE FACILITÉE, BLANCHIMENT D'ARGENT | 305bis CP, 70 al. 1 CP, 71 al. 3 CP, 197 al.1 CPP (CH), 263 al. 1 let. d CPP (CH)</w:t>
      </w:r>
    </w:p>
    <w:p>
      <w:pPr>
        <w:pStyle w:val="Heading2"/>
      </w:pPr>
      <w:r>
        <w:t>Erwägungen</w:t>
      </w:r>
    </w:p>
    <w:p>
      <w:r>
        <w:rPr>
          <w:b/>
        </w:rPr>
        <w:t>E. 1</w:t>
      </w:r>
    </w:p>
    <w:p>
      <w:r>
        <w:t>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dans le délai légal auprès de l’autorité compétente par le prévenu qui a un intérêt juridique à l’annulation ou la modification des ordonnances entreprises (art. 382 al. 1 CPP) et dans les formes prescrites (art. 385 al. 1 CPP), de sorte qu’il est recevable.</w:t>
      </w:r>
    </w:p>
    <w:p>
      <w:r>
        <w:rPr>
          <w:b/>
        </w:rPr>
        <w:t>E. 2</w:t>
      </w:r>
    </w:p>
    <w:p>
      <w:r>
        <w:t>Les moyens soulevés par le recourant portent indistinctement sur les ordonnances des 6 et 18 octobre 2017, de sorte qu'il convient de les examiner dans un seul arrêt.</w:t>
      </w:r>
    </w:p>
    <w:p>
      <w:r>
        <w:rPr>
          <w:b/>
        </w:rPr>
        <w:t>E. 3.1</w:t>
      </w:r>
    </w:p>
    <w:p>
      <w:r>
        <w:t>Le recourant soutient que les communications de deux banques au MROS et la dénonciation de cet organisme reposeraient uniquement sur des articles de presse et que le dossier ne comporterait aucune pièce de procédure pénale du pays X.________, en particulier s’agissant d’une éventuelle saisine d’Interpol. Il se prévaut également de la plainte pénale qu'il a déposée le 24 janvier 2017 en mains du Ministère public central contre le Procureure général de X. ________ [...], et de la requête adressée le 29 mars 2017 au Groupe de travail sur la détention arbitraire du Haut-Commissariat des Nations-Unies aux droits de l'homme. En outre, il produit différents documents, prétendument officiels, tendant à démontrer que les autorités de X. ________ auraient classé les enquêtes dirigées contre le recourant et que son casier judiciaire du pays X.________ serait vierge. Il en irait de même pour la société H.________, active dans le traitement des déchets et dont 10 % du capital-social serait détenu par un groupement de 13 municipalités de X.________ (la T.________). Cette participation assurerait un contrôle public de son bon fonctionnement. Le recourant expose également que les virements effectués par H.________ au recourant, actionnaire, auraient été avalisés par les administrateurs de la société, déclarés aux autorités fiscales de X.________, et formellement intégrés à sa comptabilité. Deux rapports d’audit et d’analyse feraient état de comptes réguliers pour H.________ et ne mettraient aucune singularité comptable ou financière en évidence. En définitive, les soupçons dirigés contre le recourant ne reposeraient sur rien d’autre que des sources publiquement accessibles, soit des allégations de journalistes. Il n’y aurait aucun soupçon concret d’une quelconque infraction commise à X.________ et, partant, aucun indice de blanchiment d’argent.</w:t>
      </w:r>
    </w:p>
    <w:p>
      <w:r>
        <w:rPr>
          <w:b/>
        </w:rPr>
        <w:t>E. 3.2.1</w:t>
      </w:r>
    </w:p>
    <w:p>
      <w:r>
        <w:t>Selon l’art. 305bis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En matière de blanchiment d’argent, comme dans le domaine du recel, la preuve stricte de l’acte préalable n’est pas exigée. Il n’est donc pas nécessaire que l’on connaisse en détail les circonstances du crime, singulièrement son auteur, pour pouvoir réprimer le blanchiment. Le lien exigé entre le crime à l’origine des fonds et le blanchiment d’argent est volontairement ténu (ATF 120 IV 323 consid. 3d; TF 6B_91/2011 du 26 avril 2011 consid. 3d; TF 6B_141/2007 du 24 septembre 2007 consid. 3.3.3). Ainsi, il a été jugé que le législateur n’avait pas voulu faire dépendre l’application de l’art. 305bis CP des poursuites et du jugement du crime perpétré à l’étranger (ATF 120 IV 323 consid. 3d). Il suffit, pour que le blanchiment de valeurs patrimoniales provenant d’un crime commis à l’étranger soit punissable en Suisse, que le crime préalable corresponde à des actes abstraitement punissables en Suisse au moment de leur commission, suivant le principe de la double incrimination abstraite (ATF 136 IV 179 consid. 2.3, rés. in SJ 2011 I 21).</w:t>
      </w:r>
    </w:p>
    <w:p>
      <w:r>
        <w:rPr>
          <w:b/>
        </w:rPr>
        <w:t>E. 3.2.2</w:t>
      </w:r>
    </w:p>
    <w:p>
      <w:r>
        <w:t>Selon l’art. 197 al. 1 CPP,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En application de l'art. 263 al. 1 CPP, des objets et des valeurs patrimoniales appartenant au prévenu ou à des tiers peuvent être mis sous séquestre notamment lorsqu'il est probable qu'ils devront être confisqués (let. d).</w:t>
      </w:r>
    </w:p>
    <w:p>
      <w:r>
        <w:rPr>
          <w:b/>
        </w:rPr>
        <w:t>E. 3.2.3</w:t>
      </w:r>
    </w:p>
    <w:p>
      <w:r>
        <w:t>S'agissant en particulier d'un séquestre en vue de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139 IV 250 consid. 2.1 ; ATF 137 IV 145 consid. 6.4 et les références citées).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 ; ATF 129 II 453 consid. 4.1). L'art. 70 al. 2 CP prévoit que la confiscation n'est pas prononcée lorsqu'un tiers a acquis les valeurs dans l'ignorance des faits qui l'auraient justifiée, et cela dans la mesure où il a fourni une contre-prestation adéquate ou si la confiscation se révèle d'une rigueur excessive.</w:t>
      </w:r>
    </w:p>
    <w:p>
      <w:r>
        <w:rPr>
          <w:b/>
        </w:rPr>
        <w:t>E. 3.2.4</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 celle-ci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(ATF 129 IV 107 consid. 3.2) ; elle ne joue qu'un rôle de substitution de la confiscation en nature et ne doit donc, par rapport à celle-ci, engendrer ni avantage ni inconvénient (ATF 124 I 6 consid. 4b/bb ; ATF 123 IV 70 consid. 3).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et les références citées).</w:t>
      </w:r>
    </w:p>
    <w:p>
      <w:r>
        <w:rPr>
          <w:b/>
        </w:rPr>
        <w:t>E. 3.2.5</w:t>
      </w:r>
    </w:p>
    <w:p>
      <w:r>
        <w:t>L'art. 71 al. 3 CP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consid. 4.1.2). Ce n'est en outre que dans le cadre du jugement au fond que seront examinés l'éventuel prononcé définitif de la créance compensatrice et sa possible allocation au lésé (cf. art. 73 al. 1 let. c CP). Il en résulte que tant que l'instruction n'est pas achevée et que subsiste une probabilité de confiscation ou de créance compensatrice, la mesure conservatoire doit être maintenue, car elle se rapporte à des prétentions encore incertaines (ATF 139 IV 250 consid. 2.1 et les arrêts cités). L'autorité doit pouvoir décider rapidement du séquestre (cf. art. 263 al. 2 CPP), ce qui exclut qu'elle résolve des questions juridiques complexes ou qu'elle attende d'être renseignée de manière exacte et complète sur les faits avant d'agir (ATF 116 Ib 96 consid. 3a ; TF 1B_421/2011 du 22 décembre 2011 consid. 3.1 et 3.3). L'intégralité des fonds doit demeurer à disposition de la justice aussi longtemps qu'il existe un doute sur la part de ceux-ci qui pourrait provenir d'une activité criminelle. Les probabilités d'une confiscation, respectivement du prononcé d'une créance compensatrice, doivent cependant se renforcer au cours de l'instruction. Un séquestre peut en effet apparaître disproportionné lorsque la procédure dans laquelle il s'inscrit s'éternise sans motifs suffisants (TF 1B_385/2017 du 30 novembre 2017 consid. 3.1 et les arrêts cités).</w:t>
      </w:r>
    </w:p>
    <w:p>
      <w:r>
        <w:rPr>
          <w:b/>
        </w:rPr>
        <w:t>E. 3.3</w:t>
      </w:r>
    </w:p>
    <w:p>
      <w:r>
        <w:t>En l'espèce, comme le relève le Ministère public dans ses déterminations, il résulte de la dénonciation du MROS du 26 septembre 2017 – sous la rubrique "autres informations" – que cet organisme détient des renseignements basés sur ses propres recherches. D'après celles-ci, le recourant est effectivement impliqué dans plusieurs procédures pénales encore actives et pendantes à X.________ pour escroquerie, gestion déloyale, corruption active et faux dans les titres. Ainsi, indépendamment des informations livrées par la presse ou disponibles sur Internet, en particulier sur le site www. [...].com , la mise en cause du recourant ne se base pas uniquement sur des allégations de journalistes. On relève également que le recourant, ainsi que l'un des administrateurs de la société H.________ ont fait l'objet d'une garde à vue par la police de X.________ le [...] 2016. L'existence des procédures pénales en cours et cette interpellation éveillent des soupçons quant à l'implication du recourant et de la société H.________ dans des activités délictueuses. Les soupçons sont d'autant plus légitimes que les arguments avancés par le recourant ne sont pas convaincants. Le recourant allègue que la société H.________ était contrôlée par un organisme public. Cependant, la participation de la T.________ à hauteur de 10% du capital-social de H.________ paraît trop faible pour considérer, prima facie , que cet organisme public exerçait un contrôle sur H.________ et qu'il n'y aurait donc pas eu de mauvais fonctionnement. On ne saurait d'emblée exclure que les versements litigieux parvenus sur les comptes en Suisse soient intervenus sur l'influence du recourant, lui aussi actionnaire de H.________. Le recourant soutient encore qu'entre 2005 et juillet 2016 (recours p. 12), il avait reçu des versements réguliers de la part de H.________, que cette société a fait l'objet d'audits et d'analyses officiels et que les procédures pénales à l'encontre du recourant ont été classées. Supposés établis, ces faits doivent être relativisés. D'abord, ils sont antérieurs à l'interpellation précitée du [...] 2016. Ensuite, dans la mesure où il existe des procédures pendantes pour faux dans les titres et corruption active des agents officiels, l'issue de ces procédures pourrait remettre en cause certaines décisions de justice rendues antérieurement. Les événements postérieurs à l'interpellation du […] 2016 évoqués par le recourant n'y changent rien. Comme le relève le Ministère public, les procédures engagées en Suisse, aux mois de janvier et mars 2017, à l'encontre notamment du Procureur général de X. ________ pourraient s'inscrire dans le cadre d'une stratégie globale de défense. Quant à l'attestation du 21 octobre 2017 (recours p. 7 et P. 22/2/16), elle paraît sujette à caution, dans la mesure où elle émane d'une auditrice désignée par H.________ elle-même. Elle ne paraît pas à elle seule suffisante pour établir qu'aucune activité délictueuse ni opération suspecte ne pourrait être imputée à cette société. Il en découle que le doute sur l'existence d'opérations de blanchiment d'argent ne peut pas être levé à ce stade. Ainsi que l'admet le Ministère public, le dossier ne contient pas tous les éléments permettant d’éclaircir la nature et la portée de l’implication du recourant dans les infractions évoquées par le MROS, ainsi que les circonstances exactes de la provenance des fonds litigieux. Toutefois, il convient de rappeler qu’à ce stade, il s’agit d’un examen fondé sur une probabilité de confiscation et que les preuves strictes ne sont pas exigées. Dans la mesure où les éléments à disposition suffisent à considérer que le prononcé d'une confiscation ou d'une créance compensatrice est vraisemblable, le maintien des séquestres litigieux se justifie, cela d'autant plus que l'instruction vient de commencer. Les présomptions de blanchiment d'argent devant être renforcées, il appartient au Ministère public de mettre en œuvre, dans les meilleurs délais possibles, les mesures qu'il indique dans ses déterminations en page 4 (notamment l'audition du recourant et l'envoi d'une demande d'entraide judiciaire aux autorités X. ________). En définitive, les ordonnances de séquestre ne prêtent pas le flanc à la critique et doivent être confirmées.</w:t>
      </w:r>
    </w:p>
    <w:p>
      <w:r>
        <w:rPr>
          <w:b/>
        </w:rPr>
        <w:t>E. 4</w:t>
      </w:r>
    </w:p>
    <w:p>
      <w:r>
        <w:t>Il résulte de ce qui précède que le recours doit être rejeté et les ordonnances entreprises confirmées. Les frais de la procédure de recours, par 1'210 fr. (art. 20 al. 1 TFIP [tarif des frais de procédure et indemnités en matière pénale du 28 septembre 2010 ; RSV 312.03.1]), seront mis à la charge du recourant, qui succombe (art. 428 al. 1 CPP). Par ces motifs, la Chambre des recours pénale prononce : I. Le recours est rejeté. II. Les ordonnances des 6 et 18 octobre 2017 sont confirmées. III. Les frais d'arrêt, par 1'210 fr. (mille deux cent dix francs), sont mis à la charge de A.N.________. IV. L’arrêt est exécutoire. Le président :               La greffière: Du Le présent arrêt, dont la rédaction a été approuvée à huis clos, est notifié, par l'envoi d'une copie complète, à : - Me Marc Cheseaux, avocat (pour A.N.________), - Ministère public central, et communiqué à : - Monsieur le Procureur du Ministère public central, Division criminalité économique, - Office fédéral de la police, MROS, - P.________, - L.________,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