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149 vom 22. Februar 2018</w:t>
      </w:r>
    </w:p>
    <w:p>
      <w:r>
        <w:t>VD Tribunal cantonal, 2018-02-22, FR</w:t>
      </w:r>
    </w:p>
    <w:p>
      <w:r>
        <w:rPr>
          <w:b/>
        </w:rPr>
        <w:t xml:space="preserve">Quelle: </w:t>
      </w:r>
      <w:r>
        <w:t>https://mcp.opencaselaw.ch/entscheid/vd_findinfo_D_cision___2018___149</w:t>
      </w:r>
    </w:p>
    <w:p>
      <w:r>
        <w:t>FR: VD_FINDINFO Décision / 2018 / 149 du 22 février 2018</w:t>
      </w:r>
    </w:p>
    <w:p>
      <w:r>
        <w:t>IT: VD_FINDINFO Décision / 2018 / 149 del 22 febbraio 2018</w:t>
      </w:r>
    </w:p>
    <w:p>
      <w:pPr>
        <w:pStyle w:val="Heading2"/>
      </w:pPr>
      <w:r>
        <w:t>Regeste</w:t>
      </w:r>
    </w:p>
    <w:p>
      <w:r>
        <w:t>DÉTENTION POUR DES MOTIFS DE SÛRETÉ, PROPORTIONNALITÉ, ADMISSION DE LA DEMANDE | 221 CPP (CH), 222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d’Z.________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En l’espèce, le recourant ne conteste pas, à juste titre, l’existence d'indices de culpabilité suffisants.</w:t>
      </w:r>
    </w:p>
    <w:p>
      <w:r>
        <w:rPr>
          <w:b/>
        </w:rPr>
        <w:t>E. 4</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 ATF 117 Ia 69 consid. 4a ; TF 1B_154/2015 du 13 mai 2015 consid. 3.1 ; TF 1B_87/2014 du 19 mars 2014 consid. 3.1 ;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ne conteste pas non plus le risque de fuite, qui est à l’évidence concret, dès lors que, ressortissant d’Algérie, sans statut de séjour légal, sans activité ni domicile connu, il n’a aucune espèce d’attache avec la Suisse.</w:t>
      </w:r>
    </w:p>
    <w:p>
      <w:r>
        <w:rPr>
          <w:b/>
        </w:rPr>
        <w:t>E. 5.1</w:t>
      </w:r>
    </w:p>
    <w:p>
      <w:r>
        <w:t>Le recourant se plaint en revanche d’une violation du principe de la célérité.</w:t>
      </w:r>
    </w:p>
    <w:p>
      <w:r>
        <w:rPr>
          <w:b/>
        </w:rPr>
        <w:t>E. 5.2</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n'importe quel retard n'est pas suffisant pour justifier l'élargissement du prévenu. Il doit s'agir d'un manquement particulièrement grave, faisant au surplus apparaître que l'autorité de poursuite n'est plus en mesure de conduire la procédure à chef dans un délai raisonnable (TF 1B_97/2007 du 20 juin 2007 consid. 3.1). Après la clôture de l'instruction, le prévenu doit en principe être renvoyé devant le juge du fond dans un délai qui, pour être conforme aux exigences des art. 10 Cst. et 5 par.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1P. 750/1999 du 23 décembre 1999 consid. 2d/ee). Un délai de quatre mois entre le renvoi et le jugement, même s'il n'est pas justifié par les difficultés particulières de la cause, peut être considéré comme admissible et ne saurait justifier l'élargissement du prévenu à quelques semaines de la date du jugement (TF 1B_97/2007 du 20 juin 2007 consid. 3.2). Dans tous les cas, l'Etat ne peut pas se prévaloir d'un manque de personnel ou d'une surcharge durable de ses autorités judiciaires ; il est tenu de doter ses tribunaux de personnel ou de moyens leur permettant de rendre la justice dans des délais appropriés, de sorte que des motifs d'ordre organisationnel ne sauraient justifier un délai de cinq mois et demi entre le renvoi et le jugement (TF 1B_313/2012 du 15 juin 2012 consid. 3.1 et 3.2).</w:t>
      </w:r>
    </w:p>
    <w:p>
      <w:r>
        <w:rPr>
          <w:b/>
        </w:rPr>
        <w:t>E. 5.3</w:t>
      </w:r>
    </w:p>
    <w:p>
      <w:r>
        <w:t>En l’espèce, l’acte d’accusation date du 15 janvier 2018. L’audience de jugement, initialement appointée au 15 mai 2018, a été avancée au 18 avril 2018. C’est ainsi un délai de trois mois entre le renvoi et le jugement qu’il faut prendre en considération. Il résulte de la jurisprudence précitée qu’un délai de quatre mois entre le renvoi et le jugement, même s'il n'est pas justifié par les difficultés particulières de la cause, peut encore être considéré comme admissible au regard de la jurisprudence rendue en la matière. Vu ce qui précède, le principe de la célérité n’est pas violé, un délai de trois mois entre le renvoi et le jugement étant admissible.</w:t>
      </w:r>
    </w:p>
    <w:p>
      <w:r>
        <w:rPr>
          <w:b/>
        </w:rPr>
        <w:t>E. 6.1</w:t>
      </w:r>
    </w:p>
    <w:p>
      <w:r>
        <w:t>Le recourant se plaint d’une violation du principe de la proportionnalité.</w:t>
      </w:r>
    </w:p>
    <w:p>
      <w:r>
        <w:rPr>
          <w:b/>
        </w:rPr>
        <w:t>E. 6.2</w:t>
      </w:r>
    </w:p>
    <w:p>
      <w:r>
        <w:t>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w:t>
      </w:r>
    </w:p>
    <w:p>
      <w:r>
        <w:rPr>
          <w:b/>
        </w:rPr>
        <w:t>E. 6.3</w:t>
      </w:r>
    </w:p>
    <w:p>
      <w:r>
        <w:t>En l’espèce, le recourant est détenu depuis le 10 août 2017. Il aura ainsi subi plus de 8 mois et une semaine de détention avant jugement lors des débats fixés au 18 avril 2018. Si l’on considère que le recourant n’a pas d’antécédents comparables à ce qu’on lui reproche, que son antécédent de vol était un simple vol à l’étalage, qu’il n’a jamais été mis en cause pour des faits de violation de domicile, que son comportement n’était pas particulièrement préparé et relève même d’un certain amateurisme, qu’il n’a engrangé aucun butin et que l’intégrité physique des plaignantes n’a pas été mise en cause, force est de constater qu’à ce stade déjà, la détention avant jugement est très proche de la durée de la peine privative de liberté à laquelle il faut s’attendre concrètement en cas de condamnation. En effet, Z.________ est prévenu des deux tentatives de vol et de violations de domicile commises la nuit de son interpellation (cas 5 et 6), d’empêchement d'accomplir un acte officiel pour avoir fui devant la police la nuit de son interpellation (cas 7) et d’infraction à la Loi fédérale sur les étrangers pour avoir séjourné illégalement pendant un mois en Suisse en dépit d’une interdiction d’entrée en Suisse (cas 4). Le renvoi devant le Tribunal correctionnel s’explique ainsi uniquement par les faits reprochés à son comparse. En l’état, le principe de la proportionnalité s’oppose à la détention pour des motifs de sûreté requise par le Ministère public.</w:t>
      </w:r>
    </w:p>
    <w:p>
      <w:r>
        <w:rPr>
          <w:b/>
        </w:rPr>
        <w:t>E. 7</w:t>
      </w:r>
    </w:p>
    <w:p>
      <w:r>
        <w:t>Il résulte de ce qui précède que le recours doit être admis et l’ordonnance du 25 janvier 2018 réformée en ce sens que Z.________ est immédiatement remis en liberté, pour autant qu’il ne soit pas détenu pour une autre cause. L’ordonnance doit être confirmée pour le surplus. Les frais de la procédure de recours, constitués en l’espèce de l’émolument d'arrêt, par 880 fr. (art. 20 al. 1 TFIP [tarif des frais de procédure et indemnités en matière pénale du 28 septembre 2010; RSV 312.03.1]), et de l’indemnité due au défenseur d’office du recourant, par 540 fr., plus 7,7 % de TVA par 41 fr. 60 fr., soit au total 581 fr. 60, seront laissés à la charge de l’Etat (art. 423 al. 1 CPP). Par ces motifs, la Chambre des recours pénale prononce : I. Le recours est admis. II. L’ordonnance du 25 janvier 2018 est réformée aux chiffres I et II de son dispositif comme il suit : I. La demande de détention pour des motifs de sûreté de Z.________ est rejetée. II. La libération de Z.________ est ordonnée pour autant qu’il ne soit pas détenu pour une autre cause. L’ordonnance est confirmée pour le surplus. III. L’indemnité allouée au défenseur d’office de Z.________ est fixée à          581 fr. 60 (cinq cent huitante et un francs et soixante centimes). IV. Les frais d’arrêt, par 880 fr. (huit cent huitante francs), ainsi que l’indemnité due au défenseur d’office de Z.________,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Maxime Crisinel, avocat (pour Z.________) (et par efax), - Ministère public central (et par efax), et communiqué à : ‑ M. le Procureur de l’arrondissement de La Côte (et par efax), - Mme la Présidente du Tribunal de l’arrondissement de la Côte (et par efax), - Mme la Présidente du Tribunal des mesures de contraintes (et par efax), - Prison du Bois-Mermet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