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112 vom 23. Januar 2018</w:t>
      </w:r>
    </w:p>
    <w:p>
      <w:r>
        <w:t>VD Tribunal cantonal, 2018-01-23, FR</w:t>
      </w:r>
    </w:p>
    <w:p>
      <w:r>
        <w:rPr>
          <w:b/>
        </w:rPr>
        <w:t xml:space="preserve">Quelle: </w:t>
      </w:r>
      <w:r>
        <w:t>https://mcp.opencaselaw.ch/entscheid/vd_findinfo_D_cision___2018___112</w:t>
      </w:r>
    </w:p>
    <w:p>
      <w:r>
        <w:t>FR: VD_FINDINFO Décision / 2018 / 112 du 23 janvier 2018</w:t>
      </w:r>
    </w:p>
    <w:p>
      <w:r>
        <w:t>IT: VD_FINDINFO Décision / 2018 / 112 del 23 gennaio 2018</w:t>
      </w:r>
    </w:p>
    <w:p>
      <w:pPr>
        <w:pStyle w:val="Heading2"/>
      </w:pPr>
      <w:r>
        <w:t>Regeste</w:t>
      </w:r>
    </w:p>
    <w:p>
      <w:r>
        <w:t>PREUVE ILLICITE, SUPPRESSION{EN GÉNÉRAL}, AUDITION OU INTERROGATOIRE, PRÉVENU, DROIT D'ÊTRE ENTENDU | 147 al. 3 CPP (CH), 147 CPP (CH)</w:t>
      </w:r>
    </w:p>
    <w:p>
      <w:pPr>
        <w:pStyle w:val="Heading2"/>
      </w:pPr>
      <w:r>
        <w:t>Erwägungen</w:t>
      </w:r>
    </w:p>
    <w:p>
      <w:r>
        <w:rPr>
          <w:b/>
        </w:rPr>
        <w:t>E. 1</w:t>
      </w:r>
    </w:p>
    <w:p>
      <w:r>
        <w:t>Aux termes de l’art. 393 al. 1 let. a CPP (Code de procédure pénale suisse du 5 octobre 2007 ; RS 312.0), le recours est recevable contre les décisions et actes de procédure du ministère public. Une ordonnance du ministère public refusant de retrancher des pièces du dossier, ou au contraire ordonnant un retranchement de pièces, est ainsi susceptible de recours selon les art. 393 ss CPP (Stephenson/Thiriet, in : Niggli/Heer/Wiprächtiger [éd.], Basler Kommentar, Schwei­zerische Strafprozessordnung, Jugendstrafprozessordnung, 2 e éd., Bâle 2014, n. 10 ad art. 393 CPP ; cf. TF 1B_266/2017 du 5 octobre 2017 consid. 2.5 à 2.9 ; CREP 28 septembre 2017/660 consid. 1, et les références citées). Ce recours doit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 RSV 312.01] ; art. 80 LOJV [Loi d’organisation judiciaire ; RSV 173.01]). Interjeté dans le délai légal auprès de l’autorité compétente par le prévenu qui a qualité pour recourir (art. 382 al. 1 CPP ; cf., en ce sens, TF 1B_266/2017 du 5 octobre 2017 consid. 2.9, précité) et dans les formes prescrites (art. 385 al. 1 CPP), le recours est recevable.</w:t>
      </w:r>
    </w:p>
    <w:p>
      <w:r>
        <w:rPr>
          <w:b/>
        </w:rPr>
        <w:t>E. 2</w:t>
      </w:r>
    </w:p>
    <w:p>
      <w:r>
        <w:t>let. b CPP; voir aussi l'art. 101 al. 1 CPP) le permettent (cf. Message du Conseil fédéral du 21 décembre 2005 relatif à l’unification du droit de la procédure pénale [Message], FF 2006 p. 1167).</w:t>
      </w:r>
    </w:p>
    <w:p>
      <w:r>
        <w:rPr>
          <w:b/>
        </w:rPr>
        <w:t>E. 2.1</w:t>
      </w:r>
    </w:p>
    <w:p>
      <w:r>
        <w:t>Invoquant une violation de son droit d’être entendu, le recourant soutient que les preuves recueillies contre lui lors de l’audition de F.________ du 25 octobre 2017 ne seraient pas exploitables et qu’elles devraient par conséquent être retranchées du dossier.</w:t>
      </w:r>
    </w:p>
    <w:p>
      <w:r>
        <w:rPr>
          <w:b/>
        </w:rPr>
        <w:t>E. 2.2.1</w:t>
      </w:r>
    </w:p>
    <w:p>
      <w:r>
        <w:t>Le droit de participer et de collaborer aux actes de procédure découle du droit d'être entendu (art. 107 al. 1 let. b CPP). Ce droit ne peut être restreint que si des dispositions légales (cf. les art. 108, 146 al. 4 et 149 al.</w:t>
      </w:r>
    </w:p>
    <w:p>
      <w:r>
        <w:rPr>
          <w:b/>
        </w:rPr>
        <w:t>E. 2.2.2</w:t>
      </w:r>
    </w:p>
    <w:p>
      <w:r>
        <w:t>L'art. 147 al. 1 CPP consacre le principe général de l'administration des preuves durant l'instruction et la procédure principale en présence des parties, et prévoit que ces dernières ont le droit d'assister à l'administration des preuves par le Ministère public et les tribunaux et de poser des questions aux comparants. Selon l’art. 147 al. 3 CPP, une partie ou son conseil peuvent demander que l’administration des preuves soit répétée lorsque, pour des motifs impérieux, le conseil juridique ou la partie non représentée n’a pas pu y prendre part. Il peut être renoncé à cette répétition lorsqu’elle entraînerait des frais et démarches disproportionnés et que le droit des parties d’être entendues, en particulier celui de poser des questions aux comparants, peut être satisfait d’une autre manière. Les preuves administrées en violation de l'art. 147 al. 1 CPP ne sont pas exploitables à la charge de la partie qui n'était pas présente (art. 147 al. 4 CPP ; ATF 139 IV 25, JdT 2013 IV 226, consid. 4.2). Il s’ensuit qu’une audition est exploitable, alors même que le conseil juridique ou la partie non assistée n’a pas pu y participer et poser des questions au comparant, lorsque, notamment, la partie ou son conseil juridique a renoncé, de manière explicite ou tacite, au droit de participer à la confrontation, respectivement à requérir la répétition de l’administration de la preuve (Thormann, in : Kuhn/Jeanneret [éd.], Commentaire romand, Code de procédure pénale suisse, Bâle 2011, n. 33 ad art. 147 CPP ; CREP 26 septembre 2017/660 consid. 3.2.1 ; CREP 26 janvier 2015/61). En d’autres termes, le caractère inexploitable de la preuve présuppose que la partie à la charge de laquelle la preuve est utilisée ait demandé la répétition de l’administration de la preuve, la demande devant avoir été déposée en temps utile (Schmid, Schweizerische Strafprozessord­nung, Praxiskommentar, 3 e éd., Zurich/St-Gall 2018, n. 11a ad art. 147 CPP ; Schleiminger, in : Niggli/Heer/Wiprächtiger [éd.], op.cit., n. 26 ad art. 147 CPP). Pour le cas où l’autorité pénale accède à une demande de répétition d’un acte de procédure, la preuve initialement obtenue est inexploitable à tout le moins à la charge de la partie qui a formulé la demande et obtenu la répétition (Schmid, op. cit., n. 15 ad art. 147 CPP ; Schleiminger, op. cit., n. 28 ad art. 147 CPP ; CREP 28 septembre 2017/660 consid. 3.2.1).</w:t>
      </w:r>
    </w:p>
    <w:p>
      <w:r>
        <w:rPr>
          <w:b/>
        </w:rPr>
        <w:t>E. 2.3</w:t>
      </w:r>
    </w:p>
    <w:p>
      <w:r>
        <w:t>En l’espèce, il y a lieu d’admettre, au vu des indications fournies par le Ministère public dans ses courriels des 13 et 20 octobre 2017, que le recourant, qui pouvait penser que l’audition de F.________ du 25 octobre 2017 porterait sur des faits reprochés uniquement à ce coprévenu, a été dissuadé d’assister à cette audition. Or, il ressort du procès-verbal d’audition du 25 octobre 2017 que la procureure a demandé à F.________ de se déterminer sur les conclusions du rapport de police du 21 septembre 2017, relatives aux quantités de produits stupéfiants acquis par « [son] réseau » auprès des fournisseurs français et au calcul du bénéfice ainsi obtenu (PV aud. 32, pp. 3-4). A cette occasion l’intéressé a déclaré que les conclusions du rapport lui paraissaient correspondre à ce qu’il avait vu, s’agissant du rapport entre le recourant et W.________ (ibid., p. 4, l. 166-168). On peut se demander si, au moment d’envisager l’audition de F.________ du 25 octobre 2017 et d’adresser aux conseils des prévenus les courriels précités, la procureure savait que l’interrogatoire porterait sur des faits concernant également la participation éventuelle du recourant à un trafic de marijuana. Cette question peut toutefois être laissée indécise, dans la mesure où, le recourant n’ayant pas demandé en temps utile la répétition de l’audition en cause auprès du Ministère public, cette preuve ne saurait être tenue pour inexploitable. Au vu de ce qui précède, c’est à juste titre que la procureure a refusé de retrancher du dossier l’ensemble des questions et réponses qui, dans le procès-verbal litigieux, concernent l’éventuelle participation du recourant à un trafic de marijuana.</w:t>
      </w:r>
    </w:p>
    <w:p>
      <w:r>
        <w:rPr>
          <w:b/>
        </w:rPr>
        <w:t>E. 3</w:t>
      </w:r>
    </w:p>
    <w:p>
      <w:r>
        <w:t>En définitive, le recours, manifestement mal fondé, doit être rejeté sans autre échange d’écritures (art. 390 al. 2 CPP) et l’ordonnance attaquée confirmée. Les frais de la procédure de recours, constitués de l’émolument d’arrêt (art. 422 al. 1 CPP), par 660 fr. (art. 20 al. 1 TFIP [Tarif des frais de procédure et indemnités en matière pénale du 28 septembre 2010 ; RSV 312.03.1]), et des frais imputables à la défense d’office (art. 422 al. 1 et 2 let. a CPP), fixés à 360 fr., plus la TVA, par 28 fr. 80, soit à 388 fr. 80 au total, seront mis à la charge du recourant,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7 novembre 2017 est confirmée. III. L’indemnité allouée au défenseur d’office de E.________ est fixée à 388 fr. 80 (trois cent huitante-huit francs et huitante centimes). IV. Les frais d’arrêt, par 660 fr. (six cent soixante francs), ainsi que l’indemnité due au défenseur d’office de E.________, par 388 fr. 80 (trois cent huitante-huit francs et huitante centimes), sont mis à la charge de ce dernier. V. Le remboursement à l'Etat de l'indemnité allouée au chiffre III ci-dessus ne sera exigible que pour autant que la situation économique de E.________ le permette. VI. L’arrêt est exécutoire. Le président :               Le greffier : Du Le présent arrêt, dont la rédaction a été approuvée à huis clos, est notifié, par l'envoi d'une copie complète, à : - Me Jérôme Campart, avocat (pour E.________),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