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108 vom 9. Februar 2018</w:t>
      </w:r>
    </w:p>
    <w:p>
      <w:r>
        <w:t>VD Tribunal cantonal, 2018-02-09, FR</w:t>
      </w:r>
    </w:p>
    <w:p>
      <w:r>
        <w:rPr>
          <w:b/>
        </w:rPr>
        <w:t xml:space="preserve">Quelle: </w:t>
      </w:r>
      <w:r>
        <w:t>https://mcp.opencaselaw.ch/entscheid/vd_findinfo_D_cision___2018___108</w:t>
      </w:r>
    </w:p>
    <w:p>
      <w:r>
        <w:t>FR: VD_FINDINFO Décision / 2018 / 108 du 9 février 2018</w:t>
      </w:r>
    </w:p>
    <w:p>
      <w:r>
        <w:t>IT: VD_FINDINFO Décision / 2018 / 108 del 9 febbraio 2018</w:t>
      </w:r>
    </w:p>
    <w:p>
      <w:pPr>
        <w:pStyle w:val="Heading2"/>
      </w:pPr>
      <w:r>
        <w:t>Regeste</w:t>
      </w:r>
    </w:p>
    <w:p>
      <w:r>
        <w:t>DÉTENTION PROVISOIRE, PROLONGATION, RISQUE DE RÉCIDIVE | 221 al. 1 let. c CPP (CH), 227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d’A.E.________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En l’espèce, le recourant ne conteste pas, à juste titre, l’existence d'indices de culpabilité suffisants.</w:t>
      </w:r>
    </w:p>
    <w:p>
      <w:r>
        <w:rPr>
          <w:b/>
        </w:rPr>
        <w:t>E. 4</w:t>
      </w:r>
    </w:p>
    <w:p>
      <w:r>
        <w:t>L’ordonnance attaquée se fonde sur l’existence d’un risque de récidive (art. 221 al. 1 let. c CPP).</w:t>
      </w:r>
    </w:p>
    <w:p>
      <w:r>
        <w:rPr>
          <w:b/>
        </w:rPr>
        <w:t>E. 4.1</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pp. 14 ss; TF 1B_404/2017 du 18 octobre 2017 consid. 5,1 ; TF 1B_455/2016 du 9 décembre 2016 consid. 3.1).</w:t>
      </w:r>
    </w:p>
    <w:p>
      <w:r>
        <w:rPr>
          <w:b/>
        </w:rPr>
        <w:t>E. 4.2</w:t>
      </w:r>
    </w:p>
    <w:p>
      <w:r>
        <w:t>En l’espèce, il est hautement à craindre que le recourant réitère ses agissements délictueux à brève ou moyenne échéance, s’il était libéré. Le pronostic est clairement défavorable. Sur ce point, l'argumentation du Tribunal des mesures de contrainte est convaincante et son appréciation, à laquelle la Cour de céans se réfère intégralement, ne prête pas le flanc à la critique. En effet, le recourant entretient depuis plusieurs années des relations très tendues avec ses parents et ses grands-parents. La fréquence et l’intensité des actes qui lui sont reprochés ont augmenté entre 2014 et 2016, laissant craindre une mise en danger sérieuse de la sécurité d'autrui. Depuis 2008, il y a eu 34 interventions à l'endroit d'A.E.________, soit 14 interventions en 2016 et 13 interventions en 2017. Selon le médiateur de la Police cantonale vaudoise, le prénommé est impulsif, dangereux et serait capable de passer à l'acte et de porter atteinte à l'intégrité corporelle d'un tiers, voire même de tuer quelqu'un. En outre, tous les intervenants s'accordent à dire qu'A.E.________ souffre de problèmes d'ordre psychologique et nécessite de suivre un traitement rapidement. Enfin, seuls les résultats de l’expertise psychiatrique ordonnée par le Ministère public permettront d'évaluer la dangerosité du recourant. Au vu de ce qui précède, le risque de récidive est concret et justifie le maintien du recourant en détention provisoire. Le fait, comme le soutient l’intéressé, que les motifs de la prolongation de sa détention provisoire pourraient être mieux cernés lorsque le rapport d’expertise sera établi ne modifie en rien cette appréciation. L’argument du recourant n’est en effet pas pertinent à ce stade. Il pourrait justifier, le cas échéant, une demande de mise en liberté, dès que le rapport sera déposé.</w:t>
      </w:r>
    </w:p>
    <w:p>
      <w:r>
        <w:rPr>
          <w:b/>
        </w:rPr>
        <w:t>E. 5</w:t>
      </w:r>
    </w:p>
    <w:p>
      <w:r>
        <w:t>Aucune mesure de substitution ne serait propre à pallier l’existence du risque de récidive, le recourant n'en proposant d'ailleurs aucune.</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6.2</w:t>
      </w:r>
    </w:p>
    <w:p>
      <w:r>
        <w:t>En l’espèce, le recourant est détenu depuis le 31 août 2017, soit depuis un peu plus de cinq mois. Compte tenu de la gravité des faits qui lui sont reprochés, le recourant s'expose à une peine d’une durée supérieure à celle de la détention provisoire subie à ce jour, ce qu’il ne conteste d’ailleurs pas.</w:t>
      </w:r>
    </w:p>
    <w:p>
      <w:r>
        <w:rPr>
          <w:b/>
        </w:rPr>
        <w:t>E. 7</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660 fr. (art. 20 al. 1 TFIP [tarif des frais de procédure et indemnités en matière pénale du 28 septembre 2010; RSV 312.03.1]), seront mis à la charge d’A.E.________, qui succombe (art. 428 al. 1 CPP). Par ces motifs, la Chambre des recours pénale prononce : I. Le recours est rejeté. II. L’ordonnance du 26 janvier 2018 est confirmée. III. Les frais d’arrêt, par 660 fr. (six cent soixante francs), sont mis à la charge d’A.E.________. IV. L’arrêt est exécutoire. Le président :               La greffière : Du Le présent arrêt, dont la rédaction a été approuvée à huis clos, est notifié, par l'envoi d'une copie complète, à : - M. A.E.________, - Ministère public central, et communiqué à : - Me Pierre-Alain Killias, avocat (pour A.E.________), - Mme la Présidente du Tribunal des mesures de contrainte, - M. le Procureur de l’arrondissement de La Côte, - Me Corinne Arpin, avocate (pour B.E.________), - Mme C.E.________,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