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1070 vom 28. Dezember 2018</w:t>
      </w:r>
    </w:p>
    <w:p>
      <w:r>
        <w:t>VD Tribunal cantonal, 2018-12-28, FR</w:t>
      </w:r>
    </w:p>
    <w:p>
      <w:r>
        <w:rPr>
          <w:b/>
        </w:rPr>
        <w:t xml:space="preserve">Quelle: </w:t>
      </w:r>
      <w:r>
        <w:t>https://mcp.opencaselaw.ch/entscheid/vd_findinfo_D_cision___2018___1070</w:t>
      </w:r>
    </w:p>
    <w:p>
      <w:r>
        <w:t>FR: VD_FINDINFO Décision / 2018 / 1070 du 28 décembre 2018</w:t>
      </w:r>
    </w:p>
    <w:p>
      <w:r>
        <w:t>IT: VD_FINDINFO Décision / 2018 / 1070 del 28 dicembre 2018</w:t>
      </w:r>
    </w:p>
    <w:p>
      <w:pPr>
        <w:pStyle w:val="Heading2"/>
      </w:pPr>
      <w:r>
        <w:t>Regeste</w:t>
      </w:r>
    </w:p>
    <w:p>
      <w:r>
        <w:t>EXÉCUTION ANTICIPÉE DES PEINES ET DES MESURES, DÉTENTION POUR DES MOTIFS DE SÛRETÉ, RISQUE DE RÉCIDIVE, REJET DE LA DEMANDE | 221 al. 1 let. c CPP (CH), 228 CPP (CH), 230 CPP (CH), 236 CPP (CH)</w:t>
      </w:r>
    </w:p>
    <w:p>
      <w:pPr>
        <w:pStyle w:val="Heading2"/>
      </w:pPr>
      <w:r>
        <w:t>Erwägungen</w:t>
      </w:r>
    </w:p>
    <w:p>
      <w:r>
        <w:rPr>
          <w:b/>
        </w:rPr>
        <w:t>E. 14</w:t>
      </w:r>
    </w:p>
    <w:p>
      <w:r>
        <w:t>décembre 2018, J.________ a demandé sa mise en liberté, subsidiairement son placement en exécution anticipée de mesure en milieu ouvert. Il a en substance exposé qu’il était détenu depuis plus de 18 mois au sein d’un établissement qui n’était pas adapté à une prise en charge thérapeutique, son état de santé s’étant dégradé et les experts ayant estimé que la prison n’était pas un lieu approprié à ses troubles. Il a soutenu qu’il avait le droit d’être placé en milieu ouvert, qu’il présentait une dangerosité limitée et a indiqué qu’il pourrait être pris en charge par son curateur et sa famille. Il a invoqué le fait que des mesures de substitution, sous la forme d’une obligation de se soumettre à un traitement médical, d’une interdiction d’entretenir des relations avec certaines personnes, d’une interdiction d’utiliser Internet et de son engagement à se présenter à l’audience de jugement pourraient être prononcées. b) Le 18 décembre 2018, le Ministère public a pris position sur cette demande. Retenant des soupçons suffisants et des risques de récidive et de passage à l’acte, la Procureure a conclu au rejet de la demande de libération formulée par J.________, indiquant en outre qu’une exécution anticipée de mesure en milieu ouvert ne saurait être mise en œuvre. c) Le 21 décembre 2018, le Tribunal des mesures de contrainte a tenu une audience en présence de J.________. A cette occasion, celui-ci a en substance rappelé que sa demande de libération avait été initiée au moins de juillet 2018 sans que les choses aient évolué favorablement et que tous les spécialistes préconisaient une prise en charge en milieu ouvert. Il a souligné que l’exécution anticipée de sa mesure n’avait pas été suivie d’effets, qu’il ne se trouvait pas dans une infrastructure adaptée à l’exécution de celle-ci et que, par conséquent, sa détention était illégale et, en particulier, contraire à la jurisprudence fédérale et à la CEDH (Convention de sauvegarde des droits de l’homme et des libertés fondamentales du 4 novembre 1950 ; RS 0.101). Il a encore estimé qu’il ne présentait pas de risque de récidive qualifié. d) Par ordonnance du 21 décembre 2018, le Tribunal des mesures de contrainte a rejeté la demande de libération de la détention pour motifs de sûreté déposée le 14 décembre 2018 par J.________ (I) et a dit que les frais de sa décision, par 525 fr., suivaient le sort de la cause (II). C. Par acte du 22 décembre 2018, J.________ a recouru contre cette ordonnance, en concluant, avec suite de frais et de dépens, principalement à sa réforme en ce sens qu’il soit immédiatement libéré, moyennant le respect des règles de conduite et/ou des mesures de substitution déterminées à dire de justice. Subsidiairement, il a conclu à sa réforme en ce sens que son placement en exécution anticipée de mesure en milieu ouvert soit ordonné avec effet immédiat, à charge pour l’OEP de le transférer dans un établissement adapté dans un délai de quatre semaines. Il n’a pas été ordonné d’échange d’écritures. En droit : 1. 1.1 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19 juin 2017/403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interjeté en temps utile et dans les formes prescrites (art. 385 al. 1 CPP) par un détenu qui a qualité pour recourir (art. 382 CPP), le recours est recevable. 1.2 En matière de détention pour des motifs de sûreté, l’art. 230 CPP prévoit que durant la procédure de première instance, le prévenu et le ministère public peuvent déposer une demande de libération (al. 1). La demande doit être adressée à la direction de la procédure du tribunal de première instance (al. 2). Si la direction de la procédure donne une suite favorable à la demande, elle ordonne la libération immédiate du prévenu. Si elle n’entend pas donner une suite favorable à la demande, elle la transmet au tribunal des mesures de contrainte pour décision (al. 3). En accord avec le ministère public, la direction de la procédure du tribunal de première instance peut ordonner elle-même la libération. En cas de désaccord du ministère public, le tribunal des mesures de contrainte statue (al. 4). Au surplus, l’art. 228 CPP est applicable par analogie (al. 5). En vertu de l’art. 228 al. 1 CPP, le prévenu peut présenter en tout temps une demande de libération de la détention provisoire. Cette demande doit être admise si les conditions de la détention provisoire ne sont pas ou plus remplies. 2. 2.1 Le recourant fait grief au Tribunal des mesures de contrainte d’avoir constaté les faits de manière incomplète et de ne pas s’être arrêté sur la problématique particulière de l’exécution anticipée de la mesure et du régime d’exécution qui devrait en découler. Il soutient que sa détention serait irrégulière au sens de l’art. 5 § 1 let. e CEDH notamment et conclut à sa libération immédiate. Subsidiairement, s’il devait être maintenu dans un établissement pénitentiaire en exécution anticipée de sa mesure, il requiert que le traitement thérapeutique  nécessaire lui soit prodigué, à défaut de quoi il demande à être transféré sans délai vers un établissement adéquat. 2.2 Selon l'art. 236 al. 1 CPP, la direction de la procédure peut autoriser le prévenu à exécuter de manière anticipée une peine privative de liberté ou une mesure entraînant une privation de liberté si le stade de la procédure le permet. La Confédération et les cantons peuvent prévoir que l'exécution anticipée des mesures soit subordonnée à l'assentiment des autorités d'exécution (art. 236 al. 3 CPP) ; la cautèle de l'art. 236 al. 3 CPP est notamment destinée à éviter que soit ordonnée une exécution anticipée qui ne pourrait pas être mise en œuvre faute de place. La mesure ne peut ainsi pas être accordée sans que les conditions adéquates de mise en œuvre soient assurées (TF 1B_317/2017 du 15 août 2017 consid. 2.2.2 et les références citées ; Hug/Scheidegger in Kommentar zur Schweizerischen Strafprozessordnung, 2 e éd., 2014, n. 14 ad art. 236 CPP ; Moreillon/Parein-Reymond, Petit Commentaire, Code de procédure pénale, 2016, n. 14 ad art. 236 CPP ; Schmid, Schweizerische Strafprozessordnung, Praxiskommentar, 2 e éd., 2013, n. 7 ad art. 236 CPP). A teneur de l'art. 59 al. 1 CP, lorsque l'auteur souffre d'un grave trouble mental, le juge peut ordonner un traitement institutionnel aux conditions suivantes: l'auteur a commis un crime ou un délit en relation avec ce trouble (let. a) et il est à prévoir que cette mesure le détournera de nouvelles infractions en relation avec ce trouble (let. b). Le traitement institutionnel s'effectue dans un établissement psychiatrique approprié ou dans un établissement d'exécution des mesures (art. 59 al. 2 CP). Le traitement s'effectue dans un établissement fermé tant qu'il y a lieu de craindre que l'auteur s'enfuie ou commette de nouvelles infractions ;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(art. 59 al. 3 CP). 2.3 Le recourant fonde sa démonstration sur le fait qu’à partir du moment où une exécution anticipée de peine a été admise, et qu’une mesure est préconisée, il serait obligatoire de ne pas attendre la décision du Tribunal correctionnel et de le mettre immédiatement au bénéfice de la mesure de l’art. 59 al. 2 CP. La jurisprudence invoquée par le recourant ne fait toutefois que confirmer les principes de l’art. 236 CPP, qui réservent évidemment de trouver un établissement adéquat à l’exécution de la mesure, à défaut de quoi le traitement doit se poursuivre en détention. Or, on ne peut pas sérieusement soutenir qu’un simple placement en milieu ouvert serait suffisant en l’état, sans un examen soigneux de la part du juge du fond, tenant compte des mesures visant également à empêcher toute récidive. 3. 3.1 Au demeurant, le présent recours est dirigé contre la décision de refus de libération de la détention pour motifs de sûreté, prise en vertu de l'art. 221 CPP par le Tribunal des mesures de contrainte, non contre une décision relative aux modalités de l'exécution anticipée d'une mesure. Il convient dès lors d’examiner si la détention pour des motifs de sûreté du recourant est justifiée. 3.2 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 En outre, la détention peut être ordonnée s’il y a sérieusement lieu de craindre qu’une personne ne passe à l’acte après avoir menacé de commettre un crime grave (art. 221 al. 2 CPP). La détention provisoire et la détention pour des motifs de sûreté ne doivent pas durer plus longtemps que la peine privative de liberté prévisible (art. 212 al. 3 CPP). 3.3 En l’espèce, le recourant ne conteste pas, à juste titre, l’existence de graves soupçons de culpabilité à son encontre. Il fait tout au plus valoir qu’il ne présenterait pas de risque de récidive qualifié. 3.3.1 La détention peut être ordonnée lorsqu’il y a sérieusement lieu de craindre que le prévenu compromette sérieusement la sécurité d’autrui par des crimes ou délits graves après avoir déjà commis des infractions du même genre (art. 221 al. 1 let. c CPP). L'art. 221 al. 1 let. c CPP pose ainsi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précité consid. 2.3.1; ATF 137 IV 13 consid. 3 et 4). Le risque de récidive peut également se fonder sur les infractions faisant l’objet de la procédure pénale en cours si le prévenu est fortement soupçonné – avec une probabilité confinant à la certitude – de les avoir commises (ATF 143 IV 9 précité ; ATF 137 IV 84 consid. 3.2 et les références citées, JdT 2011 IV 325).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précité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précité consid. 2.8 et les références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précité consid. 2.9 à 2.10). 3.3.2 En l’espèce, c’est à juste titre que le Tribunal des mesures de contrainte a retenu que les risques de réitération et de passage à l’acte étaient concrets. Il y a en effet lieu de relever que le recourant a déjà eu affaire à la justice lorsqu’il était mineur, pour avoir attiré un jeune garçon dans les toilettes publiques afin, selon lui, de le ligoter. Par ailleurs, les faits qui lui sont reprochés, constitutifs de tentative de séquestration et d’enlèvement, de tentative de viol et de pornographie sont graves. En outre, le risque de récidive pour des faits de même nature a été considéré comme élevé par les experts psychiatres et il y a lieu de relever que le recourant se trouvait déjà en foyer ouvert au moment des faits, ce qui ne l’a pas empêché de mettre en place un stratagème inquiétant afin qu’une de ses amies se fasse kidnapper et violer notamment. Au vu de ce qui précède, c’est à juste titre que le Tribunal des mesures de contrainte a considéré que la sauvegarde de la sécurité publique devait primer l’intérêt du recourant à bénéficier d’une remise en liberté, au vu de la gravité des faits qui lui sont reprochés et du risque important de récidive et de passage à l’acte qu’il présente. En l’état, aucune mesure de substitution n’apparaît apte à prévenir les risques retenus, étant ici rappelé que le recourant se trouvait déjà en foyer ouvert et qu’il était suivi sur le plan psychiatrique et sexuel au moment des faits. Enfin, compte tenu de la gravité des faits qui lui sont reprochés, la durée de la détention demeure proportionnée, celle-ci n’étant pas très proche de la durée de la peine privative de liberté à laquelle il peut s’attendre concrètement  en cas de condamnation (ATF 133 I 168 consid. 4.1 ; ATF 132 I 21 consid. 4.1 ; TF 1B_411/2011 du 31 août 2011 consid. 4.1). 4. En définitive, le recours, manifestement mal fondé, doit être rejeté sans autre échange d’écritures (art. 390 al. 2 CPP) et l’ordonnance entreprise confirmée. Les frais de la procédure de recours, constitués en l’espèce du seul émolument d’arrêt, par 1’210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21 décembre 2018 est confirmée. III. Les frais d’arrêt, par 1’210 fr. (mille deux cent dix francs), sont mis à la charge de J.________. IV. L’arrêt est exécutoire. Le président :               La greffière : Du Le présent arrêt, dont la rédaction a été approuvée à huis clos, est notifié, par l'envoi d'une copie complète, à : - M. J.________, - Me Baptiste Viredaz, avocat (pour J.________), - Ministère public central, et communiqué à : ‑ M. le Président du Tribunal des mesures de contrainte, - Mme la Procureure de l’arrondissement de La Côte, - Prison de la Croisée, - Tribunal d’arrondissement de La Côte, - Me Coralie Devaud, avocate (pour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