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1036 vom 25. Oktober 2018</w:t>
      </w:r>
    </w:p>
    <w:p>
      <w:r>
        <w:t>VD Tribunal cantonal, 2018-10-25, FR</w:t>
      </w:r>
    </w:p>
    <w:p>
      <w:r>
        <w:rPr>
          <w:b/>
        </w:rPr>
        <w:t xml:space="preserve">Quelle: </w:t>
      </w:r>
      <w:r>
        <w:t>https://mcp.opencaselaw.ch/entscheid/vd_findinfo_D_cision___2018___1036</w:t>
      </w:r>
    </w:p>
    <w:p>
      <w:r>
        <w:t>FR: VD_FINDINFO Décision / 2018 / 1036 du 25 octobre 2018</w:t>
      </w:r>
    </w:p>
    <w:p>
      <w:r>
        <w:t>IT: VD_FINDINFO Décision / 2018 / 1036 del 25 ottobre 2018</w:t>
      </w:r>
    </w:p>
    <w:p>
      <w:pPr>
        <w:pStyle w:val="Heading2"/>
      </w:pPr>
      <w:r>
        <w:t>Regeste</w:t>
      </w:r>
    </w:p>
    <w:p>
      <w:r>
        <w:t>NON-LIEU, ESCROQUERIE, REJET DE LA DEMANDE | 146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grief au Procureur d’avoir considéré que les éléments constitutifs de l’escroquerie n’étaient pas réalisés, plus particulièrement l’astuce. Il fait valoir qu’G.________ l’aurait induit en erreur par un édifice de mensonges, une mise en scène et des manœuvres frauduleuses. Il soutient tout d’abord que la prénommée aurait usé du lien de confiance personnel et professionnel qui les unissait pour le convaincre de lui vendre son véhicule à un « prix d’ami », quand bien même elle n’aurait jamais eu l’intention de s’acquitter du moindre franc, puis pour lui demander de repousser la première échéance de paiement du 1 er avril au 1 er août 2017, avant de disparaître sans laisser d’adresse. Il souligne qu’il bénéficiait de toutes les informations quant à l’identité, à la prétendue adresse en Suisse et à la situation financière d’G.________ au moment de la conclusion du contrat et ajoute que le fait que la prénommée ait par la suite immatriculé le véhicule au nom de sa mère, sans l’en informer, confirmerait une mise en scène générale de sa part. Il avance enfin que la prénommée aurait fourni des informations erronées à la Caisse cantonale vaudoise de chômage, lui permettant ainsi de percevoir le 100 % de ses indemnités en sus du salaire qu’il lui aurait lui-même versé, et estime que ces faits confirmeraient le stratagème d’enrichissement illégitime dont elle aurait usé.</w:t>
      </w:r>
    </w:p>
    <w:p>
      <w:r>
        <w:rPr>
          <w:b/>
        </w:rPr>
        <w:t>E. 3.2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divergent de la réalité (ATF 140 IV 11 consid. 2.3.2 ; ATF 135 IV 76 consid. 5.1).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précité ;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JdT 1996 IV 13). L'astuce n'est toutefois pas réalisée si la dupe pouvait se protéger avec un minimum d'attention ou éviter l'erreur avec le minimum de prudence que l'on pouvait attendre d'elle. Il n'est cependant pas nécessaire, pour qu’il y ait escroquerie, qu'elle ait fait preuve de la plus grande diligence ou qu'elle ait recouru à toutes les mesures possibles pour éviter d'être trompée (ATF 122 IV 246 consid. 3a). L'astuce n'est exclue que lorsque la dupe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ATF 120 IV 186 consid. 1a, JdT 1996 IV).</w:t>
      </w:r>
    </w:p>
    <w:p>
      <w:r>
        <w:rPr>
          <w:b/>
        </w:rPr>
        <w:t>E. 3.3</w:t>
      </w:r>
    </w:p>
    <w:p>
      <w:r>
        <w:t>En l’espèce, force est de constater, à l’instar du Ministère public, que les faits dénoncés ne sont pas constitutifs d’escroquerie, G.________ n’ayant pas trompé le recourant de manière astucieuse. Il convient tout d’abord de relever que le contrat de vente conclu entre le recourant et la prévenue est valable et vaut reconnaissance de dette. Que la prévenue ait d’emblée prévu de ne rien payer n’est pas exclu, mais force est de constater que le recourant n’a pris aucune précaution pour éviter d'être trompé et on ne discerne ni astuce, ni édifice de mensonges de la part d’G.________. Il a en effet suffi à celle-ci de demander au recourant de lui faire un « prix d’ami », de lui accorder des délais de paiement ou même de l’engager pour qu’il s’exécute sans discuter. La relation de confiance qui unissait le recourant à la prénommée n’a aucune influence sur l’appréciation juridique de l’élément constitutif objectif de l’escroquerie. Le recourant connaissait la situation de la prénommée ; à cet égard, il y a lieu de constater que les signes extérieurs de richesse de la prévenue, qui l’ont conforté, ne sont pas mensongers et ne ressortent pas non plus d’une mise en scène, puisqu’ils sont vrais. Pour le reste, on ne distingue pas que le recourant soit particulièrement inexpérimenté, en matière contractuelle notamment, ou qu’il se soit trouvé dans une situation particulière, tel un état de dépendance, d'infériorité ou de détresse, que la prévenue aurait pu exploiter, ce qu’il n’allègue du reste pas. Que la voiture ait été par la suite revendue sans avoir été payée à son premier propriétaire n’y change rien, puisque la vente était valable et valait transfert de propriété avec les effets qui en découlent (art. 641 al. 1 CC [Code civil suisse du 10 décembre 1907 ; RS 210]). En effet, comme l’a à juste titre retenu le Ministère public, la réserve de propriété prévue par le contrat de vente n’a pas été inscrite dans le registre public idoine (art. 715 al. 1 CC), de sorte que le pacte ne produit aucun effet réel, ni entre les parties, ni envers les tiers. L’acquéreuse pouvait dès lors valablement disposer de la chose, même en faveur d’un tiers qui connaissait ledit pacte (TF 5A_684/2008 du 1 er décembre 2008 consid. 3.1). Cela implique que l’infraction d’abus de confiance n’est pas non plus réalisée, ce que le recourant ne soutient d’ailleurs pas. Il y a enfin lieu de relever que les prétendus mensonges que la prévenue aurait proférés à la Caisse cantonale vaudoise de chômage sont étrangers au présent litige et ne concernent que ladite Caisse et le respect de la Loi sur l’assurance-chômage. Le présent litige est en réalité d’ordre purement civil. Partant, les éléments constitutifs des infractions d’abus de confiance et d’escroquerie n’étant pas réalisés, c’est à juste titre que le Ministère public n’est pas entré en matière sur la plainte du recourant.</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juillet 2018 est confirmée. III. Les frais d’arrêt, par 770 fr. (sept cent septante francs), sont mis à la charge de S.________. IV. L’arrêt est exécutoire. Le président :               La greffière : Du Le présent arrêt, dont la rédaction a été approuvée à huis clos, est notifié, par l'envoi d'une copie complète, à : - Me Nathalie Torrent, avocate (pour S.________), - Ministère public central, et communiqué à : ‑ M. le Procureur de l’arrondissement de La Côte, - Mme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