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1017 vom 5. Dezember 2018</w:t>
      </w:r>
    </w:p>
    <w:p>
      <w:r>
        <w:t>VD Tribunal cantonal, 2018-12-05, FR</w:t>
      </w:r>
    </w:p>
    <w:p>
      <w:r>
        <w:rPr>
          <w:b/>
        </w:rPr>
        <w:t xml:space="preserve">Quelle: </w:t>
      </w:r>
      <w:r>
        <w:t>https://mcp.opencaselaw.ch/entscheid/vd_findinfo_D_cision___2018___1017</w:t>
      </w:r>
    </w:p>
    <w:p>
      <w:r>
        <w:t>FR: VD_FINDINFO Décision / 2018 / 1017 du 5 décembre 2018</w:t>
      </w:r>
    </w:p>
    <w:p>
      <w:r>
        <w:t>IT: VD_FINDINFO Décision / 2018 / 1017 del 5 dicembre 2018</w:t>
      </w:r>
    </w:p>
    <w:p>
      <w:pPr>
        <w:pStyle w:val="Heading2"/>
      </w:pPr>
      <w:r>
        <w:t>Regeste</w:t>
      </w:r>
    </w:p>
    <w:p>
      <w:r>
        <w:t>DÉFENSE D'OFFICE | 132 CPP (CH)</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 d'office (art. 393 al. 1 let. a CPP), par une partie qui a qualité pour recourir (art. 382 al. 1 CPP) et dans les formes prescrites (art. 385 al. 1 CPP), le recours est recevable.</w:t>
      </w:r>
    </w:p>
    <w:p>
      <w:r>
        <w:rPr>
          <w:b/>
        </w:rPr>
        <w:t>E. 2.1</w:t>
      </w:r>
    </w:p>
    <w:p>
      <w:r>
        <w:t>et les arrêts cités ; TF 1B_93/2018 du 29 mai 2018 consid. 3.1 et les arrêts cités).</w:t>
      </w:r>
    </w:p>
    <w:p>
      <w:r>
        <w:rPr>
          <w:b/>
        </w:rPr>
        <w:t>E. 2.2</w:t>
      </w:r>
    </w:p>
    <w:p>
      <w:r>
        <w:t>En dehors des cas de défense obligatoire,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Si les deux conditions mentionnées à l'art. 132 al. 2 CPP doivent être réunies cumulativement, il n'est pas exclu que l'intervention d'un défenseur soit justifiée par d'autres motifs (comme l'indique l'adverbe « notamment » ; ATF 143 I 164 consid. 3.4, RDAF 2018 I 310),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(TF 1B_93/2018 du 29 mai 2018 consid. 3.1 et les arrêts cités). Les critères énoncés par l'art. 132 al. 1 let. b, al. 2 et 3 CPP reprennent largement la jurisprudence du Tribunal fédéral en matière d'assistance judiciaire, rendue sur la base des art. 29 al. 3 Cst. et 6 ch. 3 let. c CEDH. Selon la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1B_93/2018 du 29 mai 2018 consid. 3.1 ; TF 1B_257/2013 du 28 octobre 2013 consid. 2.1 in SJ 2014 I 273).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140 V 521 consid. 9.1 ; TF 6B_832/2018 du 22 octobre 2018 consid. 5.1). La difficulté objective d'une cause est admise sur le plan juridique lorsque la subsomption des faits donne lieu à des doutes, que ce soit de manière générale ou dans le cas particulier ; elle est également retenue quand il faut apprécier des faits justificatifs ou exclusifs de responsabilité ou lorsque la distinction entre infraction simple et infraction grave à la loi sur la circulation routière est litigieuse.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1B_128/2018 du 23 juillet 2018 consid.</w:t>
      </w:r>
    </w:p>
    <w:p>
      <w:r>
        <w:rPr>
          <w:b/>
        </w:rPr>
        <w:t>E. 2.3</w:t>
      </w:r>
    </w:p>
    <w:p>
      <w:r>
        <w:t>En l'espèce, il n'est pas contesté que la recourante, qui bénéficie du revenu d'insertion, est indigente, ni que les deux plaignants sont assistés chacun d'un avocat. De plus, s'il est vrai que les faits paraissent simples, il n'en demeure pas moins que ceux-ci posent des questions juridiques délicates, notamment en lien avec le secret professionnel de sa confidente. En outre, dès lors que la recourante a déjà été condamnée le 19 avril 2018 pour calomnie, injure et dénonciation calomnieuse, particulièrement pour avoir faussement accusé les plaignants de maltraitances à l'encontre des enfants, et que la recourante aurait récidivé en proférant les mêmes accusations de maltraitance à sa psychologue très peu de temps après, la question de la révocation du sursis de 4 ans assorti à la peine pécuniaire de 210 jours-amende prononcée se posera. Il est possible aussi qu'une seconde condamnation ait des répercussions en ce qui concerne les rapports de la recourante avec ses enfants, même si celle-ci ne bénéficie actuellement que d'un droit de visite. Vu les éléments qui précèdent, la seconde condition de l'art. 132 al. 1 let. b CPP apparaît pleinement réalisée, l'affaire n'étant pas de peu de gravité puisque la prévenue est passible d'une peine pécuniaire de plus de 120 jours-amende et présentant des difficultés en droit que la recourante ne pourrait pas surmonter seule. Une défense d'office doit par conséquent être ordonnée en faveur de la recourante pour la sauvegarde efficace de ses droits.</w:t>
      </w:r>
    </w:p>
    <w:p>
      <w:r>
        <w:rPr>
          <w:b/>
        </w:rPr>
        <w:t>E. 3</w:t>
      </w:r>
    </w:p>
    <w:p>
      <w:r>
        <w:t>Il s'ensuit que le recours doit être admis et l'ordonnance entreprise réformée en ce sens que Me Aurélie Cornamusaz est désignée en qualité de défenseur d'office de X.________, avec effet au 2 octobre 2018, soit la date à laquelle la requête de désignation d'un défenseur d'office a été présentée. L’indemnité due au défenseur d’office de la recourante pour la procédure de recours est fixée à 387 fr. 70, TVA par 7,7 % incluse (2 h à 180 fr.). Les frais de la procédure de recours, par 660 fr. (art. 20 al. 1 TFIP [tarif des frais de procédure et indemnités en matière pénale du 28 septembre 2010 ; RSV 312.03.1]), ainsi que les frais imputables à la défense d’office (art. 422 al. 1 et 2 let. a CPP), par 387 fr. 70, sont laissés à la charge de l'Etat (art. 428 al. 4 CPP). Par ces motifs, la Chambre des recours pénale prononce : I. Le recours est admis. II. L'ordonnance du 15 octobre 2018 est réformée en ce sens que Me Aurélie Cornamusaz est désignée en qualité de défenseur d'office de X.________, avec effet au 2 octobre 2018. III. L'indemnité allouée au défenseur d'office de X.________ pour la procédure de recours est fixée à 387 fr. 70 (trois cent huitante-sept francs et septante centimes). IV. Les frais d'arrêt, par 660 fr. (six cent soixante francs), ainsi que l'indemnité due au défenseur d'office de X.________, par 387 fr. 70 (trois cent huitante-sept francs et septante centimes), sont laissés à la charge de l'Etat. V. L’arrêt est exécutoire. Le président :              La greffière : Du Le présent arrêt, dont la rédaction a été approuvée à huis clos, est notifié, par l'envoi d'une copie complète, à : - Me Aurélie Cornamusaz, avocate (pour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