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1005 vom 4. Dezember 2018</w:t>
      </w:r>
    </w:p>
    <w:p>
      <w:r>
        <w:t>VD Tribunal cantonal, 2018-12-04, FR</w:t>
      </w:r>
    </w:p>
    <w:p>
      <w:r>
        <w:rPr>
          <w:b/>
        </w:rPr>
        <w:t xml:space="preserve">Quelle: </w:t>
      </w:r>
      <w:r>
        <w:t>https://mcp.opencaselaw.ch/entscheid/vd_findinfo_D_cision___2018___1005</w:t>
      </w:r>
    </w:p>
    <w:p>
      <w:r>
        <w:t>FR: VD_FINDINFO Décision / 2018 / 1005 du 4 décembre 2018</w:t>
      </w:r>
    </w:p>
    <w:p>
      <w:r>
        <w:t>IT: VD_FINDINFO Décision / 2018 / 1005 del 4 dicembre 2018</w:t>
      </w:r>
    </w:p>
    <w:p>
      <w:pPr>
        <w:pStyle w:val="Heading2"/>
      </w:pPr>
      <w:r>
        <w:t>Regeste</w:t>
      </w:r>
    </w:p>
    <w:p>
      <w:r>
        <w:t>OPPORTUNITÉ, CLASSEMENT DE LA PROCÉDURE, IN DUBIO PRO DURIORE, ENLÈVEMENT{INFRACTION}, TRAITE D'ÊTRES HUMAINS | 182 CP, 183 ch. 1 CP, 319 al. 1 CPP (CH), 8 al. 2 let. b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En l'espèce, l'ordonnance de classement n’a pas été notifiée par lettre signature, de sorte que la preuve de la date de sa réception par le destinataire est impossible à établir (ATF 142 IV 125). Le recours du 18 octobre 2018 doit par conséquent être considéré comme interjeté en temps utile. Déposé devant l’autorité compétente, par la partie plaignante qui a qualité pour recourir (art. 382 al. 1 CPP), et satisfaisant aux conditions de forme prescrites (art. 385 al. 1 CPP), le recours est recevable.</w:t>
      </w:r>
    </w:p>
    <w:p>
      <w:r>
        <w:rPr>
          <w:b/>
        </w:rPr>
        <w:t>E. 2.1</w:t>
      </w:r>
    </w:p>
    <w:p>
      <w:r>
        <w:t>Dans un premier grief, invoquant une violation de l’art. 319 al. 1 CPP et du principe in dubio pro duriore , le recourant reproche au Procureur d’avoir estimé que l’infraction de séquestration n’était pas réalisée s’agissant des faits qui se seraient déroulés en 2015, considérant qu’il n’avait pas été enfermé dans sa chambre puisqu’il avait pu sortir par la fenêtre, sans avoir investigué plus avant. Il fait en outre valoir que le Ministère public n’aurait pas tenu compte des faits qui se seraient déroulés au mois d’avril 2016 et qui paraîtraient eux aussi constitutifs de séquestration.</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[ci-après : Message FF 2006]).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2.3</w:t>
      </w:r>
    </w:p>
    <w:p>
      <w:r>
        <w:t>Aux termes de l’art. 183 ch. 1 CP, celui qui, sans droit, aura arrêté une personne, l'aura retenue prisonnière, ou l'aura, de toute autre manière, privée de sa liberté ou celui qui, en usant de violence, de ruse ou de menace, aura enlevé une personne, sera puni d'une peine privative de liberté de cinq ans au plus ou d'une peine pécuniaire. L'infraction est intentionnelle ; le dol éventuel suffit (Dupuis et al., Petit Commentaire du Code pénal, 2 e éd., Bâle 2017, n. 36 ad art. 183 CP). Le bien juridique protégé est la liberté de déplacement. Les éléments objectifs constitutifs sont réalisés si la personne est privée de sa liberté d'aller et venir et de choisir le lieu où elle souhaite rester (TF 6B_1070/2017 du 20 avril 2018 consid. 4.2 et les références citées).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mais il n'est pas nécessaire que la privation de liberté soit de longue durée. Quelques minutes suffisent (ATF 128 IV 73 consid. 2a et les références citées ; TF 6B_1070/2017 précité ; SJ 2002 I 511, JdT 2004 IV 120 ; Trechsel/Mona, in : Trechsel/Pieth [éd.], Schweizerisches Strafgesetzbuch, Praxiskommentar, 3 e éd., Zurich 2017, n. 7 ad art. 183 CP).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précité et les références citées ; TF 6B_1070/2017 précité ; SJ 2002 I 511, JdT 2004 IV 120 ; Dupuis et al., op. cit., n. 8 ad art. 183 CP). Il n’est donc pas nécessaire qu’une personne se fasse enfermer pour que l’art. 183 CP s’applique (Dupuis et al., op. cit., n. 7 ad art. 183 CP et la référence citée).</w:t>
      </w:r>
    </w:p>
    <w:p>
      <w:r>
        <w:rPr>
          <w:b/>
        </w:rPr>
        <w:t>E. 2.4</w:t>
      </w:r>
    </w:p>
    <w:p>
      <w:r>
        <w:t>Dans sa plainte du 15 septembre 2016, le recourant a déclaré que lorsque les prévenus étaient présents, il disposait de sa liberté de mouvement, à l’exception d’une occasion, où ils seraient partis en week-end et l’auraient enfermé dans leur appartement au 2 e étage, le privant ainsi de toute liberté. Lors de son audition du 13 décembre 2016, il a précisé avoir été enfermé par le couple pour la première fois en 2015 ou plus tôt, ajoutant avoir dû passer par la fenêtre et par un toit pour sortir de la chambre située au 2 e étage. S’agissant de l’épisode du 23 avril 2016, le recourant a expliqué, dans sa plainte du 15 septembre 2016, avoir été enfermé par A.R.________ pendant environ 30 minutes dans le bar sis au rez-de-chaussée de l’immeuble de celui-ci. Lors de son audition du 13 décembre 2016, il a répété que A.R.________ l’aurait enfermé à clé pendant 30 minutes dans le bar où il dormait, précisant qu’il aurait profité du retour de celui-ci pour s’enfuir. L’ordonnance de classement querellée, bien qu’elle mentionne l’épisode de 2015 et celui du 23 avril 2016 dans les faits, ne revient toutefois que sur l’épisode de 2015 dans sa motivation. A cet égard, le Procureur a considéré que l’infraction de séquestration n’était pas réalisée, estimant que le recourant n’avait pas de fait été enfermé dans sa chambre courant 2015, dans la mesure où il avait pu sortir par la fenêtre. Dans ses déterminations du 16 novembre 2018, le Procureur a indiqué que, s’agissant de l’infraction de séquestration, la brièveté du temps durant lequel le recourant aurait été privé de liberté était insuffisante pour réaliser l’infraction dénoncée, une telle réalisation nécessitant une certaine intensité dans l’atteinte subie. En l’espèce, l’appréciation du Ministère public, qu’elle ressorte de l’ordonnance de classement ou de ses déterminations subséquentes, n’est pas convaincante. En effet, au vu du texte légal et de la jurisprudence mentionnée au considérant 2.3 supra , on ne saurait exclure, à ce stade, que tant l’épisode de 2015 que celui du 23 avril 2016, s’ils étaient avérés, soient constitutifs de séquestration. Dès lors, le Procureur ne pouvait pas rendre une ordonnance de classement sans instruire plus avant ces deux épisodes. Si aucune mesure d’instruction n’est envisageable afin de faire la lumière sur ces allégations, il appartiendra au Procureur de le dire et d’en tirer les conséquences, en application du principe in dubio pro duriore . Partant, le recours doit être admis sur ce point.</w:t>
      </w:r>
    </w:p>
    <w:p>
      <w:r>
        <w:rPr>
          <w:b/>
        </w:rPr>
        <w:t>E. 3.1</w:t>
      </w:r>
    </w:p>
    <w:p>
      <w:r>
        <w:t>Dans un second grief, invoquant à nouveau une violation de l’art. 319 al. 1 CPP et du principe in dubio pro duriore, le recourant reproche au Ministère public d’avoir écarté l’infraction de traite d’êtres humains au motif que la réalisation de celle-ci serait douteuse, dans la mesure où il aurait été rémunéré en partie en nature et en partie en argent. Il soutient que le Procureur, dans la mesure où il estimait qu’il subsistait un doute, n’aurait pas pu, en application du principe in dubio pro duriore , décider du classement de la procédure et qu’il aurait, au contraire, dû donner suite aux mesures d’instruction requises, qui auraient permis de lever ce doute.</w:t>
      </w:r>
    </w:p>
    <w:p>
      <w:r>
        <w:rPr>
          <w:b/>
        </w:rPr>
        <w:t>E. 3.2</w:t>
      </w:r>
    </w:p>
    <w:p>
      <w:r>
        <w:t>L’art. 182 CP réprime la traite d’êtres humains et dispose notamment que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(al. 1). Cette disposition protège l'autodétermination des personnes. Il y a traite d'êtres humains lorsque des personnes disposent d'autres êtres humains comme s'il s'agissait d'objets (cf.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2665 [ci-après : Message FF 2005]), que ce soit sur un « marché » international ou intérieur (Trechsel/Mona, op. cit., n. 2 ad art. 182 CP). Pour que cette infraction soit réalisée, un seul acte suffit et peut ne concerner qu'une seule personne (TF 1B_450/2017 du 29 mars 2018 consid. 4.3.1 ; Trechsel/Mona, op. et loc. cit ; Dupuis et al., op. cit., n. 14 ad art. 182 CP ; Corboz, Les infractions en droit suisse, 3 e éd. 2010, n. 12 ad art. 182 CP ; Message FF 2005 2639, p. 2666). L’infraction est intentionnelle, le dol éventuel étant suffisant (Dupuis et al., op. cit., n. 24 ad art. 182 CP). S'agissant en particulier du comportement typique, on se trouve dans un cas de traite lorsque la victime – traitée comme une marchandise vivante (Trechsel/Mona, op. et loc. cit.)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(Corboz, op. cit., n. 7 ad art. 182 CP). Le fait de recruter des êtres humains, y compris pour sa propre entreprise, est assimilé à la traite (ATF 128 IV 117 consid. 6/d/cc ; Dupuis et al., op. cit., n. 15 ad art. 182 CP ; Corboz, op. cit., n. 4 ad art. 182 CP). Est déterminant le fait qu’un être humain soit considéré et traité comme une marchandise et susceptible de faire l’objet d’une transaction commerciale (Dupuis et al., op. cit., n. 12 ad art 182 CP et la référence citée). Il y a exploitation du travail en cas de travail forcé, d'esclavage ou de travail effectué dans des conditions analogues à l'esclavage (TF 1B_450/2017 précité et les références citées).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(TF 1B_450/2017 précité ; Message FF 2005 2639, p. 2667).</w:t>
      </w:r>
    </w:p>
    <w:p>
      <w:r>
        <w:rPr>
          <w:b/>
        </w:rPr>
        <w:t>E. 3.3</w:t>
      </w:r>
    </w:p>
    <w:p>
      <w:r>
        <w:t>En l’espèce, le recourant se plaint de n’avoir perçu que quelques francs et un peu de tabac pour seul salaire de la part de A.R.________, qui l’aurait employé entre 2009 et 2016 et l’aurait logé dans des conditions désastreuses, alors qu’il était vulnérable de par son statut d’étranger. Or, s’il apparaît vraisemblable que l’intimé ait profité de la détresse du recourant pour le faire travailler pour une très faible rémunération, ce qui pourrait être constitutif d’usure, infraction pour laquelle l’intimé a précisément été condamné par jugement du 27 mars 2017, notamment au détriment du recourant, force est de constater que les éléments constitutifs de l’infraction de traite d’êtres humains ne sont pas réalisés, dès lors que le recourant n’a pas fait l’objet d’une transaction commerciale. Il ressort en effet des déclarations du recourant lui-même qu’il s’est mis de son propre gré au service de l’intimé et qu’il était libre de s’en aller (cf. PV aud. n. 4, l. 114 ss et P. 4/1). Au  vu de ce qui précède, l’audition des témoins requise par le recourant, qui ne porte pas sur le fait qu’il aurait fait l’objet d’une transaction commerciale, ce qu’il ne soutient d’ailleurs pas, n’est pas pertinente, de sorte que le recours doit être rejeté sur ce point sans plus ample mesure d’instruction.</w:t>
      </w:r>
    </w:p>
    <w:p>
      <w:r>
        <w:rPr>
          <w:b/>
        </w:rPr>
        <w:t>E. 4.1</w:t>
      </w:r>
    </w:p>
    <w:p>
      <w:r>
        <w:t>Enfin, le recourant fait valoir son intérêt prépondérant à ce que la procédure suive son cours et reproche au Ministère public d’avoir estimé que les faits dénoncés pouvaient également être classés pour des questions d’opportunité, au motif que, quand bien même ils auraient été retenus dans leur intégralité à la charge de A.R.________, celui-ci n’aurait pas été sanctionné plus sévèrement que dans la décision du 27 mars 2017.</w:t>
      </w:r>
    </w:p>
    <w:p>
      <w:r>
        <w:rPr>
          <w:b/>
        </w:rPr>
        <w:t>E. 4.2</w:t>
      </w:r>
    </w:p>
    <w:p>
      <w:r>
        <w:t>En vertu de l’art.</w:t>
      </w:r>
    </w:p>
    <w:p>
      <w:r>
        <w:rPr>
          <w:b/>
        </w:rPr>
        <w:t>E. 4.3</w:t>
      </w:r>
    </w:p>
    <w:p>
      <w:r>
        <w:t>Dans ses déterminations du 16 novembre 2018, le Ministère public précise qu’il y a lieu de considérer que A.R.________ ne serait pas condamné à une peine plus sévère que celle prononcée le 27 mars 2017 par le Tribunal correctionnel de l’arrondissement de La Broye et du Nord vaudois, au vu de l’ancienneté des faits qui lui sont reprochés par le recourant et compte tenu qu’une partie d’entre eux aurait déjà été prise en compte dans cette décision. Or, c’est à tort que le Procureur a retenu que l’art. 8 al. 2 let. b CPP trouvait application en l’espèce. En effet, si A.R.________ a bien fait l’objet d’une condamnation le 27 mars 2017, tel n’est pas le cas de son épouse B.R.________, qui est également prévenue dans le cadre de la présente procédure. En outre, force est de constater que le recourant a un intérêt prépondérant à ce que la procédure se poursuive, notamment compte tenu de la gravité des faits reprochés aux prévenus, qui pourraient être constitutifs de séquestration, de sorte qu’un classement par opportunité n’est pas envisageable en l’espèce. Partant, les conditions d’application de l’art. 8 CPP n’étant pas réalisées, le classement ne peut pas se justifier pour ce motif, le Procureur étant tenu de procéder selon les art. 324 ou 352 CPP, après avoir complété l’instruction dans le sens prescrit au ch. 2.4 ci-dessus. 5. Pour le surplus, le recourant ne conteste pas le classement des infractions de voies de fait et d’injure, pour lesquelles une plainte a effectivement été déposée tardivement, de sorte que l’ordonnance sera maintenue sur ces points. 6. En définitive, le recours formé par N.________ doit être partiellement admis en tant qu’il est dirigé contre le classement de la procédure pénale ouverte contre A.R.________ et B.R.________ pour séquestration, l’ordonnance du 1 er octobre 2018 étant annulée dans cette mesure et confirmée, respectivement maintenue, pour le surplus. Le dossier de la cause sera retourné au Procureur de l’arrondissement du Nord vaudois pour qu’il procède dans le sens des considérants. Vu l'issue de la cause, les frais de la procédure de recours, constitués en l’espèce de l’émolument d'arrêt, par 1’540 fr. (art. 20 al. 1 TFIP [tarif des frais de procédure et indemnités en matière pénale du 28 septembre 2010 ; RSV 312.03.1]), et des frais imputables à l’assistance du conseil juridique gratuit du recourant (art. 422 al. 1 et 2 let. a CPP), fixés à 720 fr., plus la TVA, par 55 fr. 45, soit à 775 fr. 45 au total, seront mis pour la moitié, soit par 1’157 fr. 70, à la charge du recourant, dont les conclusions sont partiellement admises, et pour la moitié, soit par 1’157 fr. 70, à la charge des intimés, solidairement entre eux, qui succombent partiellement dès lors qu’ils ont conclu au rejet de l’ensemble du recours (art. 428 al. 1 CPP). La part des frais incombant à N.________, qui bénéficie de l’assistance judiciaire gratuite, sera provisoirement laissée à la charge de l’Etat (Mazzuchelli/Postizzi, in : Niggli/Heer/Wiprächtiger [éd.], Basler Kommentar, Schweizerische Strafprozess-ordnung, Jugendstrafprozessordnung, 2 e éd., Bâle 2014, n. 4 ad art. 138 CPP ; Harari/Corminboeuf, in : Kuhn/Jeanneret [éd.], Code de procédure pénale suisse, Commentaire romand, Bâle 2011, n. 51 ad art. 136 CPP). Le recourant sera toutefois tenu de rembourser à l’Etat la part des frais mis à sa charge dès que sa situation financière le permettra (art. 135 al. 4 CPP par renvoi de l’art. 138 al. 1 CPP). Les intimés, qui ont procédé avec l’assistance d’un avocat de choix et qui ont obtenu partiellement gain de cause, ont droit, de la part de l’Etat, à une indemnité réduite pour les dépenses occasionnées par la procédure de recours (art. 436 al. 1 et 3 CPP). Ils ne quantifient toutefois pas leur prétention. La Cour considère que le recours a justifié une durée d’activité totale de quatre heures d’avocat breveté, au tarif horaire de 300 fr. (art. 26a al. 3 TFIP), à hauteur de 1'200 fr., débours inclus. Cette indemnité sera augmentée d’un montant de 92 fr. 40, correspondant à la TVA au taux de 7,7 %,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y sont quant à eux soumis (CREP 19 mars 2015/91 consid. 3.1.2). L’indemnité totale s’élèverait ainsi à 1’292 fr. 40. Les intimés n’ayant que partiellement obtenu gain de cause, dès lors qu’ils ont conclu au rejet de l’ensemble du recours, ce montant sera réduit de moitié, de sorte que c’est en définitive une indemnité de 646 fr. 20 au total qui sera allouée à A.R.________ et B.R.________, par moitié chacun. Selon l’art. 442 al. 4 CPP, qui autorise la compensation entre les dettes et les créances de l’Etat dans la même procédure, il faut imputer sur l’indemnité de 646 fr. 20, les frais de la procédure de recours de 1’157 fr. 70 mis à la charge de A.R.________ et de B.R.________, solidairement entre eux. Par ces motifs, la Chambre des recours pénale prononce : I. Le recours est partiellement admis. II. L’ordonnance du 1 er octobre 2018 est annulée s'agissant du classement relatif à l'infraction de séquestration, ainsi que des frais de procédure, et confirmée, respectivement maintenue, pour le surplus. III. Le dossier de la cause est renvoyé au Ministère public de l’arrondissement du Nord vaudois pour qu’il procède dans le sens des considérants. IV. Une indemnité fixée à 775 fr. 45 (sept cent septante-cinq francs et quarante-cinq centimes) est allouée à Me Flore Primault, conseil juridique gratuit de N.________. V. Les frais de la présente procédure, comprenant les frais d’arrêt, par 1'540 fr. (mille cinq cent quarante francs) et les frais imputables à l’assistance judiciaire gratuite de la partie plaignante, par 775 fr. 45 (sept cent septante-cinq francs et quarante-cinq centimes), sont mis par moitié, soit par 1'157 fr. 70 (mille cent cinquante-sept francs et septante centimes) à la charge de A.R.________ et de B.R.________, solidairement entre eux, le solde étant provisoirement laissé à la charge de l’Etat. VI. Une indemnité d’un montant de 646 fr. 20 (six cent quarante-six francs et vingt centimes) est allouée à A.R.________ et à B.R.________, par moitié chacun, pour les dépenses occasionnées par l’exercice raisonnable de leurs droits dans la procédure de recours ; cette indemnité est compensée à concurrence de 1'157 fr. 70 (mille cent cinquante-sept francs et septante centimes), le solde des frais de justice dus par A.R.________ et B.R.________ s’élevant ainsi à 511 fr. 50 (cinq cent onze francs et cinquante centimes). VII. Le recourant est tenu de rembourser à l’Etat la moitié de l’indemnité allouée au chiffre IV ci-dessus ainsi que la moitié des frais fixés au chiffre V ci-dessus dès que sa situation financière le permettra. VIII. L’arrêt est exécutoire. Le président :               La greffière : Du Le présent arrêt, dont la rédaction a été approuvée à huis clos, est notifié, par l'envoi d'une copie complète, à : - Me Flore Primault, avocate (pour N.________), - Me Sébastien Pedroli, avocat (pour A.R.________ et B.R.________),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8</w:t>
      </w:r>
    </w:p>
    <w:p>
      <w:r>
        <w:t>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Les réglementations prévues aux al. 1 et 2 de l’art. 8 CPP ont ceci en commun qu’elles rendent impérative la renonciation à la poursuite pénale si les conditions prévues à cet effet sont réunies et qu’elles confèrent aux seuls ministère public et tribunaux la compétence de prendre une telle décision (Message du Conseil fédéral du 21 décembre 2005 relatif à l'unification du droit de la procédure pénale, FF 2006 pp. 1057 ss, spéc. 1107 ; CREP 27 juin 2016/433 consid. 4.1). Par intérêt de la partie plaignante, on entend notamment celui qu’elle a à ce que ses prétentions civiles, ou encore, dans les cas particulièrement graves, à ce que sa plainte pénale soit traitée (Message FF 2006, p.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 ; CREP 27 juin 2016/433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