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1000 vom 5. Dezember 2018</w:t>
      </w:r>
    </w:p>
    <w:p>
      <w:r>
        <w:t>VD Tribunal cantonal, 2018-12-05, FR</w:t>
      </w:r>
    </w:p>
    <w:p>
      <w:r>
        <w:rPr>
          <w:b/>
        </w:rPr>
        <w:t xml:space="preserve">Quelle: </w:t>
      </w:r>
      <w:r>
        <w:t>https://mcp.opencaselaw.ch/entscheid/vd_findinfo_D_cision___2018___1000</w:t>
      </w:r>
    </w:p>
    <w:p>
      <w:r>
        <w:t>FR: VD_FINDINFO Décision / 2018 / 1000 du 5 décembre 2018</w:t>
      </w:r>
    </w:p>
    <w:p>
      <w:r>
        <w:t>IT: VD_FINDINFO Décision / 2018 / 1000 del 5 dicembre 2018</w:t>
      </w:r>
    </w:p>
    <w:p>
      <w:pPr>
        <w:pStyle w:val="Heading2"/>
      </w:pPr>
      <w:r>
        <w:t>Regeste</w:t>
      </w:r>
    </w:p>
    <w:p>
      <w:r>
        <w:t>DÉTENTION PROVISOIRE, RISQUE DE FUITE, RISQUE DE COLLUSION, SOUPÇON | 221 al. 1 let. a CPP (CH), 221 al. 1 let. b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A.________ est recevable.</w:t>
      </w:r>
    </w:p>
    <w:p>
      <w:r>
        <w:rPr>
          <w:b/>
        </w:rPr>
        <w:t>E. 2</w:t>
      </w:r>
    </w:p>
    <w:p>
      <w:r>
        <w:t>cagoules;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En outre, la détention peut être ordonnée s’il y a sérieusement lieu de craindre qu’une personne 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w:t>
      </w:r>
    </w:p>
    <w:p>
      <w:r>
        <w:rPr>
          <w:b/>
        </w:rPr>
        <w:t>E. 2.3</w:t>
      </w:r>
    </w:p>
    <w:p>
      <w:r>
        <w:t>A teneur de l’art. 221 al. 1 CPP, la détention provisoire suppose que le prévenu soit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2.4</w:t>
      </w:r>
    </w:p>
    <w:p>
      <w:r>
        <w:t>En l'espèce, le Tribunal des mesures de contrainte a constaté qu'il ressortait du dossier les éléments suivants : - les déclarations des coprévenus étaient contradictoires concernant les motifs de leur venue en Suisse, leur rencontre avec des gens ou avec des filles (cf. PV aud. arrestation de F.________ du 16 novembre 2018, Iignes 36 et ss; PV aud. arrestation d'I.________ du 16 novembre 2018, Iignes.54 et ss, Iignes 61 et ss; PV aud. d'I.________ du 15 novembre 2018, p. 2, R. 3); - une cagoule était cachée dans le slip d'I.________; - le prévenu et les deux autres coprévenus ont été interpellés alors qu'ils n'avaient aucun document d'identité, ni aucun téléphone portable sur eux; - l'absence de téléphone portable sur les trois coprévenus était pour le moins suspecte (cf. not. PV aud. arrestation de F.________ du 16 novembre 2018, Iignes 36 et ss); - lors de la fouille du véhicule, il avait été retrouvé les objets suivants : - 1 grand bidon d'essence; -</w:t>
      </w:r>
    </w:p>
    <w:p>
      <w:r>
        <w:rPr>
          <w:b/>
        </w:rPr>
        <w:t>E. 2.5</w:t>
      </w:r>
    </w:p>
    <w:p>
      <w:r>
        <w:t>Cette appréciation échappe à la critique et peut être confirmée. En effet, si A.________ et I.________ ont tous deux déclaré qu’ils devaient aller voir « des copines » – A.________ ayant précisé qu’il ne les connaissait pas et ne savait pas de qui elles étaient les copines –, F.________, qui conduisait le véhicule, a quant à lui déclaré qu’il était venu voir à [...] un ami qui n’était pas là et qu’en partant, il avait passé par les hauts de [...] et s’était un peu perdu. Ainsi, contrairement à ce qu’affirme le recourant, les déclarations des prévenus sont bel et bien contradictoires sur les raisons de leur venue en Suisse. On ne saurait par ailleurs affirmer, comme le fait le recourant, que l’absence de pièces d’identité chez les trois prévenus conforterait l’idée qu’ils se sont trompés et n’avaient aucune intention d’entrer sur le territoire suisse, puisque cet élément, surtout mis en relation avec l’absence de téléphones cellulaires, peut tout aussi bien conforter l’idée que les prévenus voulaient bien plutôt éviter d’être repérés et identifiés alors qu’ils s’apprêtaient à passer à l’exécution d’un brigandage en Suisse. C’est par ailleurs à tort que le recourant nie la présence de dispositions concrètes prises par les prévenus, au vu du matériel retrouvé, du déplacement en Suisse et de l’absence de téléphones cellulaires et de pièces d’identité. En effet, le fait que les prévenus ne se connaissaient pas tous avant ce soir-là ne les empêchait nullement d’avoir pris ensemble des dispositions concrètes en vue de passer à l’acte. Le fait que le recourant, selon ses déclarations, se serait endormi dans la voiture n’est d’aucune pertinence, dès lors qu’il ne lui est pas reproché d’avoir procédé à une reconnaissance des lieux qui aurait exigé une vigilance constante des trois comparses. Par ailleurs, rien n’impose d’accorder une crédibilité particulière – surtout au vu de ses antécédents – à l’affirmation du recourant selon lesquelles le cutter et le paquet de lames trouvés sur lui étaient dans ses poches à des fins de bricolage. Dans ces conditions, il existe à ce stade précoce de l’enquête de sérieuses raisons de soupçonner le recourant de s’être rendu coupable d’actes préparatoires délictueux en vue de commettre un brigandage en Suisse et, par la même occasion, d’infraction à la LEtr, les dénégations du recourant sur ce point n’étant pas crédibles.</w:t>
      </w:r>
    </w:p>
    <w:p>
      <w:r>
        <w:rPr>
          <w:b/>
        </w:rPr>
        <w:t>E. 3</w:t>
      </w:r>
    </w:p>
    <w:p>
      <w:r>
        <w:t>bouteilles-sprays lave-vitre et ammoniaque; - des habits de rechange; - lampe frontale, paire de gants noirs, paires de chaussettes noires, pantalons noirs. Jugeant qu'il ne lui appartenait pas, à ce stade, de trancher entre les versions contradictoires, cela étant le rôle du juge au fond, le Tribunal des mesures de contrainte a estimé que le matériel retrouvé et l'absence de téléphones portables chez les trois coprévenus dénotait, selon le cours ordinaire des choses, une organisation préalable et concertée en vue de déployer une activité criminelle. De plus, cette organisation préalable et concertée permettait aussi de couvrir la fuite des intéressés, l'absence de téléphones portables empêchant leur localisation. Par ailleurs, le premier juge a souligné qu'il ressortait du rapport d'investigation de la police de sûreté du 15 novembre 2018 (cf. p. 6) que les antécédents judiciaires de A.________ étaient, renseignements pris auprès du Centre de coopération policière et douanière, les suivants : 1998 : vol avec effraction; 1999: vol à main armée avec arme à feu, vol avec arme. Au vu de ces éléments, l'autorité intimée a retenu qu'il existait des soupçons suffisants pour considérer que A.________ et ses coprévenus s'étaient rendus coupables d'actes préparatoires délictueux à brigandage et d'infraction à la LEtr.</w:t>
      </w:r>
    </w:p>
    <w:p>
      <w:r>
        <w:rPr>
          <w:b/>
        </w:rPr>
        <w:t>E. 3.1</w:t>
      </w:r>
    </w:p>
    <w:p>
      <w:r>
        <w:t>Le recourant conteste l’existence d’un risque de fuite.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TF 1B_249/2013 du 12 août 2013, consid. 6.1). Les circonstances particulières de chaque cas d'espèce doivent être prises en compte (TF 1B_393/2015 du 9 décembre 2015 consid.</w:t>
      </w:r>
    </w:p>
    <w:p>
      <w:r>
        <w:rPr>
          <w:b/>
        </w:rPr>
        <w:t>E. 3.3</w:t>
      </w:r>
    </w:p>
    <w:p>
      <w:r>
        <w:t>En l’espèce, le Tribunal des mesures de contrainte estimé que le risque de fuite était concret. Rappelant qu'un des buts de la détention avant jugement visait à garantir qu'une personne fortement soupçonnée d'avoir commis un crime ou un délit reste à disposition de la justice pénale durant l'instruction ou durant les débats au tribunal et, le cas échéant, que la peine prononcée soit effectivement exécutée, l'autorité intimée a retenu qu'au vu des mesures d'instruction en cours, le prévenu étant ressortissant de France, soit un pays qui n'extradait pas ses ressortissants, le risque de se soustraire aux poursuites pénales suisses apparaissait non seulement possible, mais également probable.</w:t>
      </w:r>
    </w:p>
    <w:p>
      <w:r>
        <w:rPr>
          <w:b/>
        </w:rPr>
        <w:t>E. 3.4</w:t>
      </w:r>
    </w:p>
    <w:p>
      <w:r>
        <w:t>Cette appréciation échappe à la critique et peut être confirmée. L’argument du recourant selon lequel il n’aurait pas cherché à fuir lors du contrôle par le corps des gardes-frontière, de sorte qu’il n’y aurait aucune raison de penser qu’il se soustrairait à la justice, tombe à faux. En effet, une fuite au moment du contrôle, outre qu’elle aurait vraisemblablement été vaine, aurait compromis toutes les protestations d’innocence dont les prévenus pouvaient penser être en mesure de se prévaloir en cas de contrôle, et n’infirme nullement le risque de fuite maintenant que le prévenu a pris conscience des possibles conséquences pénales de ses actes.</w:t>
      </w:r>
    </w:p>
    <w:p>
      <w:r>
        <w:rPr>
          <w:b/>
        </w:rPr>
        <w:t>E. 4.1</w:t>
      </w:r>
    </w:p>
    <w:p>
      <w:r>
        <w:t>Le recourant conteste l’existence d’un risque de collusion.</w:t>
      </w:r>
    </w:p>
    <w:p>
      <w:r>
        <w:rPr>
          <w:b/>
        </w:rPr>
        <w:t>E. 4.2</w:t>
      </w:r>
    </w:p>
    <w:p>
      <w:r>
        <w:t>Pour retenir l'existence d'un risque de collusion au sens de l’art. 221 al. 1 let. b CPP, l'autorité doit démontrer que les circonstances particulières du cas d'espèce font apparaître un danger concret et sérieux de telles manœuvre,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132 I 21 consid. 3.2; TF 1B_488/2018 du 5 novembre 2018 consid. 2.1. Plus l'instruction se trouve à un stade avancé et les faits sont établis avec précision, plus les exigences relatives à la preuve de l'existence d'un risque de collusion sont élevées (ATF 137 IV 122 consid. 4.2; ATF 132 I 21 consid. 3.2.2). En tout état de cause, lorsqu'un prévenu est placé en détention, la procédure doit être conduite en priorité (art. 5 al. 2 CPP).</w:t>
      </w:r>
    </w:p>
    <w:p>
      <w:r>
        <w:rPr>
          <w:b/>
        </w:rPr>
        <w:t>E. 4.3</w:t>
      </w:r>
    </w:p>
    <w:p>
      <w:r>
        <w:t>En l’espèce, le Tribunal des mesures de contrainte a estimé que le risque de collusion était concret. L'enquête venait de débuter et des mesures d'instruction étaient en cours afin d'établir l'activité délictueuse du prévenu. Il y avait donc lieu d'éviter, en cas de libération de ce dernier, qu'il compromette la recherche de la vérité, notamment en alertant d'éventuels complices et/ou en faisant disparaître des moyens de preuve, étant rappelé que le maintien en détention provisoire en raison d'un risque de collusion visait à garantir la constatation exacte et complète des faits.</w:t>
      </w:r>
    </w:p>
    <w:p>
      <w:r>
        <w:rPr>
          <w:b/>
        </w:rPr>
        <w:t>E. 4.4</w:t>
      </w:r>
    </w:p>
    <w:p>
      <w:r>
        <w:t>Cette appréciation échappe à la critique et peut être confirmée. L’argumentation du recourant selon laquelle l’absence de téléphones cellulaires démontrerait que les prévenus n’avaient pas l’intention d’appeler qui que ce soit et qu’il n’y aurait pas de participation autre à la présumée préparation au brigandage tombe à faux. En effet, outre que la collusion redoutée porte avant tout sur les autres prévenus arrêtés en même temps que le recourant, le fait qu’il n’avait pas la possibilité d’appeler qui que ce fût le soir en question n’entre nullement en contradiction avec la possibilité, en cas de libération, de prendre contact avec d’autres personnes ou de faire disparaître des preuves.</w:t>
      </w:r>
    </w:p>
    <w:p>
      <w:r>
        <w:rPr>
          <w:b/>
        </w:rPr>
        <w:t>E. 5.1</w:t>
      </w:r>
    </w:p>
    <w:p>
      <w:r>
        <w:t>Conformément au principe de la proportionnalité (art. 36 al. 3 Cst.; Constitution fédérale de la Confédération suisse du 18 avril 1999,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l'état du dossier et au vu de la situation personnelle du recourant, aucune mesure de substitution n'est susceptible de prévenir valablement les risques redoutés, le recourant n’en proposant d’ailleurs pas. Enfin, au vu des faits reprochés et des mesures d'instruction en cours, la détention ordonnée pour une durée de deux mois respecte le principe de proportionnalité, les arguments du recourant sur ce point étant dénuées de pertinence.</w:t>
      </w:r>
    </w:p>
    <w:p>
      <w:r>
        <w:rPr>
          <w:b/>
        </w:rPr>
        <w:t>E. 6</w:t>
      </w:r>
    </w:p>
    <w:p>
      <w:r>
        <w:t>En définitive, le recours, manifestement mal fondé, doit être rejeté sans échange d’écritures (art. 390 al. 2 CPP) et l’ordonnance du 18 novembre 2018 confirmée. Les frais de la procédure de recours, constitués en l’espèce de l’émolument d'arrêt, par 1'210 fr. (art. 20 al. 1 TFIP [Tarif des frais judiciaires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18 novembre 2018 est confirmée. III. L’indemnité allouée au défenseur d’office de A.________ est fixée à 387 fr. 70 (trois cent huitante-sept francs et septante centimes). IV. Les frais d’arrêt, par 1'210 fr. (mille deux-cent dix francs), ainsi que l’indemnité due au défenseur d’office de A.________, par 387 fr. 70 (trois cent huitante-sept francs et septante centimes), sont mis à la charge de ce dernier. V. Le remboursement à l'Etat de l'indemnité allouée au chiffre III ci-dessus ne sera exigible que pour autant que la situation économique de A.________ le permette. VI. L’arrêt est exécutoire. Le président :               Le greffier : Du Le présent arrêt, dont la rédaction a été approuvée à huis clos, est notifié, par l'envoi d'une copie complète, à : - Me Véronique Fontana, avocate (pour A.________), - Ministère public central, et communiqué à : - Mme la Présidente du Tribunal des mesures de contrainte, - M. le Procureur du Ministère public cantonal Strada, - Service de la population,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