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835 vom 10. November 2017</w:t>
      </w:r>
    </w:p>
    <w:p>
      <w:r>
        <w:t>VD Tribunal cantonal, 2017-11-10, FR</w:t>
      </w:r>
    </w:p>
    <w:p>
      <w:r>
        <w:rPr>
          <w:b/>
        </w:rPr>
        <w:t xml:space="preserve">Quelle: </w:t>
      </w:r>
      <w:r>
        <w:t>https://mcp.opencaselaw.ch/entscheid/vd_findinfo_D_cision___2017___835</w:t>
      </w:r>
    </w:p>
    <w:p>
      <w:r>
        <w:t>FR: VD_FINDINFO Décision / 2017 / 835 du 10 novembre 2017</w:t>
      </w:r>
    </w:p>
    <w:p>
      <w:r>
        <w:t>IT: VD_FINDINFO Décision / 2017 / 835 del 10 novembre 2017</w:t>
      </w:r>
    </w:p>
    <w:p>
      <w:pPr>
        <w:pStyle w:val="Heading2"/>
      </w:pPr>
      <w:r>
        <w:t>Regeste</w:t>
      </w:r>
    </w:p>
    <w:p>
      <w:r>
        <w:t>ASSIGNATION À RÉSIDENCE | 38 LEP, 2 Rad1, 393 CPP (CH)</w:t>
      </w:r>
    </w:p>
    <w:p>
      <w:pPr>
        <w:pStyle w:val="Heading2"/>
      </w:pPr>
      <w:r>
        <w:t>Erwägungen</w:t>
      </w:r>
    </w:p>
    <w:p>
      <w:r>
        <w:rPr>
          <w:b/>
        </w:rPr>
        <w:t>E. 1.1</w:t>
      </w:r>
    </w:p>
    <w:p>
      <w:r>
        <w:t>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w:t>
      </w:r>
    </w:p>
    <w:p>
      <w:r>
        <w:rPr>
          <w:b/>
        </w:rPr>
        <w:t>E. 1.2</w:t>
      </w:r>
    </w:p>
    <w:p>
      <w:r>
        <w:t>En l’espèce, interjeté dans le délai légal auprès de l’autorité compétente, par le condamné qui a qualité pour recourir (cf. art. 382 al. 1 CPP), le recours est recevable.</w:t>
      </w:r>
    </w:p>
    <w:p>
      <w:r>
        <w:rPr>
          <w:b/>
        </w:rPr>
        <w:t>E. 2.1</w:t>
      </w:r>
    </w:p>
    <w:p>
      <w:r>
        <w:t>La réglementation des arrêts domiciliaires relève de la compétence cantonale (TF 6B_874/2016 du 25 octobre 2016 consid. 2.1; TF 6B_1253/2015 du 17 mars 2016 consid. 2.2; TF 6B_386/2012 du 15 novembre 2012 consid. 5.1) et fait l’objet, dans le canton de Vaud, du règlement sur l'exécution des courtes peines privatives de liberté sous forme d'arrêts domiciliaires, arrêté par le Conseil d’Etat le 11 juin 2003 (Rad1; RSV 340.01.6). Selon l’art. 1 Rad1, une peine privative de liberté d'une durée de 20 jours au moins et de 12 mois au plus peut être exécutée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w:t>
      </w:r>
    </w:p>
    <w:p>
      <w:r>
        <w:rPr>
          <w:b/>
        </w:rPr>
        <w:t>E. 2.2</w:t>
      </w:r>
    </w:p>
    <w:p>
      <w:r>
        <w:t>En l’espèce, l’OEP a refusé d’autoriser le recourant à exécuter sa peine selon le régime des arrêts domiciliaires, pour le motif que ce dernier n’avait démontré ni emploi ni activité occupationnelle à mi-temps au minimum. Il faut constater qu’au vu des pièces à disposition de l’office au moment où celui-ci a statué, ce refus était justifié. Les pièces produites par l’intéressé au stade du recours ne démontrent pas davantage qu’il exerce l’emploi et l’activité bénévole allégués. Le recourant ne fournit aucun indice sérieux de l’ampleur de son activité en tant que livreur cycliste ou en faveur du G.________. Ainsi, en l’état, l’une des conditions auxquelles la réglementation applicable subordonne l’octroi du régime des arrêts domiciliaires n’est pas réalisée, ce qui conduit au rejet du recours. Il y a lieu toutefois de souligner que l’OEP a indiqué que si l’intéressé produisait des pièces prouvant son activité professionnelle et son occupation bénévole, ainsi que leur ampleur, il serait prêt à réexaminer la situation en transmettant le dossier à la Fondation vaudoise de probation pour préavis, avant de rendre une nouvelle décision.</w:t>
      </w:r>
    </w:p>
    <w:p>
      <w:r>
        <w:rPr>
          <w:b/>
        </w:rPr>
        <w:t>E. 3</w:t>
      </w:r>
    </w:p>
    <w:p>
      <w:r>
        <w:t>En définitive, le recours, manifestement mal fondé, doit être rejeté sans autre échange d’écritures (art. 390 al. 2 CPP) et la décision du 20 octobre 2017 confirmée.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20 octobre 2017 est confirmée. III. Les frais d’arrêt, par 660 fr. (six cent soixante francs), sont mis à la charge de E.________. IV. L’arrêt est exécutoire. Le président :               Le greffier : Du Le présent arrêt, dont la rédaction a été approuvée à huis clos, est notifié, par l'envoi d'une copie complète, à : - M. E.________, - Ministère public central, et communiqué à : - Office d’exécution des peines (réf.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