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814 vom 21. September 2017</w:t>
      </w:r>
    </w:p>
    <w:p>
      <w:r>
        <w:t>VD Tribunal cantonal, 2017-09-21, FR</w:t>
      </w:r>
    </w:p>
    <w:p>
      <w:r>
        <w:rPr>
          <w:b/>
        </w:rPr>
        <w:t xml:space="preserve">Quelle: </w:t>
      </w:r>
      <w:r>
        <w:t>https://mcp.opencaselaw.ch/entscheid/vd_findinfo_D_cision___2017___814</w:t>
      </w:r>
    </w:p>
    <w:p>
      <w:r>
        <w:t>FR: VD_FINDINFO Décision / 2017 / 814 du 21 septembre 2017</w:t>
      </w:r>
    </w:p>
    <w:p>
      <w:r>
        <w:t>IT: VD_FINDINFO Décision / 2017 / 814 del 21 settembre 2017</w:t>
      </w:r>
    </w:p>
    <w:p>
      <w:pPr>
        <w:pStyle w:val="Heading2"/>
      </w:pPr>
      <w:r>
        <w:t>Regeste</w:t>
      </w:r>
    </w:p>
    <w:p>
      <w:r>
        <w:t>NON-LIEU, ABUS DE CONFIANCE, CHOSE CONFIÉE, ESCROQUERIE, ASTUCE | 138 CP, 146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 art. 80 LOJV [loi d’organisation judiciaire; RSV 173.01]). En l'espèce,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w:t>
      </w:r>
    </w:p>
    <w:p>
      <w:r>
        <w:t>Le recourant soutient qu’au vu des faits allégués dans sa plainte et des pièces produites à l’appui, il existerait des éléments suffisants pour ouvrir une instruction pénale contre L.________ du chef d’abus de confiance.</w:t>
      </w:r>
    </w:p>
    <w:p>
      <w:r>
        <w:rPr>
          <w:b/>
        </w:rPr>
        <w:t>E. 3.1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 ou, le cas échéant, à la date convenue à cet effet –, la volonté et la possibilité de le faire (« Ersatzbereitschaft »; ATF 118 IV 32 consid. 2a) ou encore s'il était en droit de compenser (ATF 105 IV 29 consid. 3a ; TF 6B_613/2016 et 6B_627/2016 du 1 er décembre 2016 consid. 4 ; CREP 12 janvier 2017/31).</w:t>
      </w:r>
    </w:p>
    <w:p>
      <w:r>
        <w:rPr>
          <w:b/>
        </w:rPr>
        <w:t>E. 3.2</w:t>
      </w:r>
    </w:p>
    <w:p>
      <w:r>
        <w:t>En l’espèce, il peut être tenu pour établi que le recourant a bien versé deux acomptes en faveur du prévenu. Il ressort en effet d’un relevé de [...] du 2 février 2016 que le recourant a versé à cette date 17'545 fr. à l’entreprise du prévenu, D.________ SA, avec la mention « Acompte appartement » (P. 4/3). Le recourant qualifie de contrat le document établi par le prévenu le 19 janvier 2016. Il semble toutefois que ce document n’ait pas été signé par le recourant, contrairement à ce qu’affirme celui-ci (P. 4/1). Il se présente d’ailleurs davantage comme une simple annonce immobilière que comme un contrat de vente immobilière en bonne et due forme. Il ne comporte en effet qu’une description sommaire de l’appartement en cause, avec son lieu de situation, et donne l’identité du vendeur, soit L.________, ainsi que son adresse en Serbie, le tout suivi de la signature du prénommé. Plus bas, le document porte deux mentions manuscrites se rapportant l’une au prix de vente de 63'000 euros, l’autre à un acompte de 3'000 francs. Ces mentions sont suivies de la date du 19 janvier 2016, puis d’une nouvelle signature du prévenu. Le document ne fournit toutefois aucune indication quant à l’identité de l’acheteur. La question de savoir si un tel document doit être qualifié de contrat n’apparaît pas déterminante. En effet, que les acomptes versés par le recourant aient constitué un mode d’exécution du contrat de vente ou qu’ils aient été uniquement destinés à confirmer l’intention de conclure une vente ultérieurement, ils ne sauraient être considérés comme des valeurs patrimoniales confiées au sens de l’art. 138 ch. 1 al. 2 CP, puisque le prévenu n’était pas tenu de conserver la contre-valeur reçue du recourant en paiement partiel du prix de vente (cf. ATF 133 IV 21 consid. 7). En particulier, il ne ressort pas du dossier que le prévenu devait affecter les sommes versées par le recourant à un usage que les parties auraient déterminé par avance. Le fait que ce versement ait été opéré en faveur de la société du prévenu, D.________ SA, n’y change rien. Il n’est en effet pas établi – et le recourant ne l’allègue pas – que cette société aurait été chargée, en vertu d’instructions qui lui auraient été données, de remettre les fonds versés à un tiers afin de faire aboutir la vente immobilière. Enfin, il importe peu de déterminer si le prévenu avait la capacité de rembourser les montants versés par le recourant (« Ersatzbereitschaft »). En effet, comme on l’a vu, les valeurs patrimoniales en cause n’étaient pas confiées, puisqu’il s’agissait d’un acompte destiné à confirmer un projet d’acquisition immobilière. Il résulte de ce qui précède que le non-remboursement des sommes versées à la société du prévenu par le recourant, après que ce dernier eut renoncé au projet, n’est pas constitutif d’un abus de confiance. L’ordonnance de non-entrée en matière est bien fondée sur ce point.</w:t>
      </w:r>
    </w:p>
    <w:p>
      <w:r>
        <w:rPr>
          <w:b/>
        </w:rPr>
        <w:t>E. 4</w:t>
      </w:r>
    </w:p>
    <w:p>
      <w:r>
        <w:t>Le recourant soutient également que l’infraction d’escroquerie ne pourrait pas être exclue à ce stade.</w:t>
      </w:r>
    </w:p>
    <w:p>
      <w:r>
        <w:rPr>
          <w:b/>
        </w:rPr>
        <w:t>E. 4.1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ATF 133 IV 256 consid. 4.4.3; ATF 128 IV 18 consid. 3a; TF 6B_117/2015 du 11 février 2016 consid. 2.3.1.1 et les réf. citées).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l’inexpérience ou le fait que la victime soit affectée par l’âge ou qu’elle se trouve dans un rapport de dépendance, de subordination ou dans une situation de nécessité et, pour ces raisons, ne soit guère capable de faire preuve de méfiance à l’égard de l’auteur. D’autre part, les connaissances spécialisées et l’expérience des affaires de la victime doivent être prises en compte, de la même manière qu’ils sont évalués dans le cadre d’octrois de crédits par les banques. Sous l’angle de la coresponsabilité de la victime, la réalisation des éléments constitutifs n’exige cependant pas que la dupe fasse preuve de la plus grande attention possible ni qu’elle entreprenne toutes les mesures imaginables. L’astuce est exclue si la dupe ne prend pas les mesures de prudence élémentaires. Par conséquent, la protection pénale n’est pas exclue à chaque imprudence de la dupe mais seulement dans les cas de négligence qui font passer le comportement frauduleux de l’auteur à l’arrière-plan. Une responsabilité de la victime excluant la punissabilité de l’auteur de la tromperie ne peut cependant être admise que dans des cas exceptionnels (ATF 142 IV 153 consid. 2.2.2, JdT 2017 IV 75 ; ATF 135 IV 76 consid. 5.2). Selon la jurisprudence, la tromperie portant sur la volonté d’exécuter une prestation est en principe astucieuse au sens de l’art. 146 CP, car elle concerne une intention dont le partenaire contractuel ne peut pas directement vérifier la nature (ATF 142 IV 153 consid. 2.2.2, JdT 2017 IV 75 ; ATF 118 IV 359 consid. 2, JdT 1994 IV 172). Il peut y avoir astuce lors de simples affirmations fausses, lorsqu’une vérification plus approfondie n’est pas usuelle, par exemple parce que cela apparaît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 l’escroquerie, la marche des affaires socialement adéquates et les règles habituelles des opérations courantes ne seraient plus protégées (ATF 142 IV 153 consid. 2.2.2, JdT 2017 IV 75).</w:t>
      </w:r>
    </w:p>
    <w:p>
      <w:r>
        <w:rPr>
          <w:b/>
        </w:rPr>
        <w:t>E. 4.2</w:t>
      </w:r>
    </w:p>
    <w:p>
      <w:r>
        <w:t>En l’espèce, le fait que le prévenu aurait invité le recourant à séjourner dans sa villa en Serbie en août 2015 avant de lui proposer la transaction immobilière en cause peut être perçu comme une démarche visant à gagner la confiance d’un éventuel cocontractant. On ne saurait toutefois y voir un édifice de mensonges qui seraient l’expression d’une rouerie particulière et qui se recouperaient de manière si subtile que même une victime faisant preuve d’esprit critique se laisserait tromper (ATF 119 IV 28 consid. 3c, JdT 1995 IV 72). De ce point de vue, il n’y a pas d’astuce. En tout état de cause, on relève que le recourant, qui exerce la profession d’avocat (P. 4/3), a l’habitude des affaires. Même s’il ne connaissait pas les lois et usages en vigueur en Serbie, ni la langue de ce pays, il pouvait toutefois difficilement se persuader que le document du 19 janvier 2016 signé par le prévenu suffisait à opérer un transfert immobilier. On peut d’ailleurs raisonnablement attendre de tout acheteur projetant d’acquérir un immeuble à l’étranger, quelles que soient ses connaissances juridiques en droit suisse, qu’il prenne des renseignements quant à la forme que doit revêtir le contrat de vente dans le pays concerné. On observe par ailleurs que le recourant n’allègue pas avoir demandé à visiter l’appartement en cause, ni s’être informé auprès des autorités locales quant à la propriété de l’objet convoité, ni avoir exigé, avant de verser des acomptes, que soit rédigé un contrat en bonne et due forme selon les prescriptions en vigueur en Serbie. Enfin, il ne ressort pas du dossier – et le recourant ne l’allègue pas – qu’il aurait cherché à se renseigner sur la solvabilité du prévenu ou de ses sociétés, ce qui pouvait être utile dans l’hypothèse – réalisée en l’espèce – où l’acheteur, pour quelque motif que ce soit, aurait dû demander la restitution des acomptes versés. Au vu de ce qui précède, force est de constater qu’en l’absence d’astuce, les éléments constitutifs de l’escroquerie ne sont manifestement pas réalisés. L’ordonnance de non-entrée est bien fondée sur ce point également,</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13 juillet 2017 est confirmée. III. Les frais d’arrêt, par 990 fr. (neuf cent nonante francs), sont mis à la charge de M.________. IV. L’arrêt est exécutoire. Le président :               Le greffier : Du Le présent arrêt, dont la rédaction a été approuvée à huis clos, est notifié, par l'envoi d'une copie complète, à : - Me Robert Fox,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