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790 vom 27. September 2017</w:t>
      </w:r>
    </w:p>
    <w:p>
      <w:r>
        <w:t>VD Tribunal cantonal, 2017-09-27, FR</w:t>
      </w:r>
    </w:p>
    <w:p>
      <w:r>
        <w:rPr>
          <w:b/>
        </w:rPr>
        <w:t xml:space="preserve">Quelle: </w:t>
      </w:r>
      <w:r>
        <w:t>https://mcp.opencaselaw.ch/entscheid/vd_findinfo_D_cision___2017___790</w:t>
      </w:r>
    </w:p>
    <w:p>
      <w:r>
        <w:t>FR: VD_FINDINFO Décision / 2017 / 790 du 27 septembre 2017</w:t>
      </w:r>
    </w:p>
    <w:p>
      <w:r>
        <w:t>IT: VD_FINDINFO Décision / 2017 / 790 del 27 settembre 2017</w:t>
      </w:r>
    </w:p>
    <w:p>
      <w:pPr>
        <w:pStyle w:val="Heading2"/>
      </w:pPr>
      <w:r>
        <w:t>Regeste</w:t>
      </w:r>
    </w:p>
    <w:p>
      <w:r>
        <w:t>AVOCAT D'OFFICE, HONORAIRES, DILIGENCE, EXEMPTION DE PEINE | 12 let. a LLCA, 12 let. g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du Président du Tribunal cantonal, visant un avocat inscrit au registre cantonal et pratiquant la représentation en justice dans le canton de Vaud. La Chambre de céans est dès lors compétente.</w:t>
      </w:r>
    </w:p>
    <w:p>
      <w:r>
        <w:rPr>
          <w:b/>
        </w:rPr>
        <w:t>E. 2.1</w:t>
      </w:r>
    </w:p>
    <w:p>
      <w:r>
        <w:t>Me Q.________ admet avoir commis une erreur en établissant la note d’honoraires du 18 novembre 2016. Il expose que c'est une collaboratrice à temps partiel qui aurait établi le projet de note d'honoraires car il ne disposerait pas d’un système électronique pour établir sa liste d’opérations. En principe, il mettrait entre parenthèses les opérations déjà taxées dans le cadre des indemnités sur recours. Cela n'aurait pas été fait en l'espèce, ce que Me Q.________ regrette. Il affirme n’avoir rien caché car il se serait bien abstenu de faire recours s'il avait su que des opérations étaient comptées à double. Il insiste sur le fait qu'il n'aurait pratiquement jamais eu de problèmes pour ses notes d'honoraires ou des questions liées à la modération. Pour le surplus, Me Q.________ expose avoir eu, dans ce dossier, l'impression d'être « puni » en raison du courrier adressé le 11 août 2016 au Président de la Chambre des recours pénale. Ce dernier aurait d’ailleurs fait partie de la Cour lors des trois recours interjetés pendant la procédure. A chaque fois, une indemnité de 583 fr. 20 aurait été allouée, montant que Me Q.________ considère comme une « forfaitisation » ne tenant pas compte de l'ampleur de l'activité déployée. Le Président de la Chambre des recours pénale aurait également statué dans le cadre de l'arrêt du 9 janvier 2017. Me Q.________ peine à comprendre pourquoi il a été dénoncé devant la Chambre des avocats et pourquoi on lui prête une intention de tromperie. Selon lui, il s'agirait d'erreurs, certes regrettables, mais qui ne découleraient pas de l'intention de tromper. Il conclut à la renonciation à toute sanction et requiert, pour le cas où une sanction devait être envisagée, à l'audition du Président du Tribunal cantonal, du Président de la Chambre des recours pénale, ainsi que de sa secrétaire.</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Aux termes de l’art. 12 let. g LLCA, l’avocat est tenu d’accepter les défenses d’office et les mandats d’assistance judiciaire dans le canton au registre duquel il est inscrit. Lorsque son client est au bénéfice de l’assistance judiciaire, l’avocat n’a pas le droit de facturer des prestations à celui-ci, sous peine de violer l’art. 12 let. g LLCA (TF 2C_952/2014 du 9 juillet 2015 consid. 3.2.1). Il a également été jugé que l’avocat qui facture les mêmes prestations tant à l’autorité lui ayant attribué l’assistance judicaire qu’à son client et se voit ainsi doublement rémunéré viole l’art. 12 let. a LLCA (TF 2A_196/2005 du 26 septembre 2005 consid. 2.1 et 3.1).</w:t>
      </w:r>
    </w:p>
    <w:p>
      <w:r>
        <w:rPr>
          <w:b/>
        </w:rPr>
        <w:t>E. 2.3</w:t>
      </w:r>
    </w:p>
    <w:p>
      <w:r>
        <w:t>En l’espèce, la note d’honoraires de Me Q.________ du 18 novembre 2016 mentionne des opérations déjà indemnisées dans le cadre de deux recours interjetés auprès de la Chambre des recours pénale. Il en va ainsi, en date du 14 janvier 2016, du poste « rédaction d’un mémoire de recours » comptabilisé à raison de 360 minutes, pour lequel Me Q.________ avait déjà été indemnisé à hauteur de 583 fr. 20 dans l’arrêt de la Chambre des recours pénale du 26 janvier 2017. Il en va de même, les 21 février et 1 er mars 2016, des postes « rédaction d’une demande de récusation », à hauteur de 480 minutes, et « complément de requête de récusation », par 45 minutes, lesquels avaient déjà été pris en compte dans l’arrêt de la Chambre des recours pénale du 11 mars 2016, dans le cadre duquel l’indemnité de Me Q.________ avait été fixée à 583 fr. 20. Il faut donc constater que Me Q.________ a transmis aux autorités pénales une note d’honoraires relative à des prestations pour lesquelles il s’était déjà fait indemniser. Cette erreur a d’emblée été admise par Me Q.________, qui a déclaré la regretter. Il a exposé qu’elle résultait d’un manque d’attention au moment où il avait validé la note d’honoraires établie par son secrétariat. A cet égard, il faut relever qu’aucun élément au dossier n’établit que la tentative de double rémunération ainsi décrite aurait été commise intentionnellement. Au vu des explications convaincantes données par Me Q.________, il peut être retenu qu’il s’agit d’une erreur isolée. Ainsi, dans le contexte décrit, Me Q.________ n’a pas violé l’art. 12 let. a LLCA. L’attention de Me Q.________ doit toutefois être attirée sur le fait qu’il lui appartiendra dans le futur de systématiquement vérifier ses notes d’honoraires, afin d’éviter qu’une telle erreur se reproduise.</w:t>
      </w:r>
    </w:p>
    <w:p>
      <w:r>
        <w:rPr>
          <w:b/>
        </w:rPr>
        <w:t>E. 3</w:t>
      </w:r>
    </w:p>
    <w:p>
      <w:r>
        <w:t>En définitive, il doit être constaté que Me Q.________ n’a pas violé l’art. 12 let. a LLCA. Les frais, comprenant un émolument par 376 fr. ainsi que les frais d’enquête, par 424 fr., sont arrêtés à 800 fr. et laissés à la charge de l’Etat (art. 59 al. 1 LPAv a contrario ). Par ces motifs, la Chambre des avocats, statuant à huis clos : I. Constate que l’avocat Q.________ n’a pas violé l’art. 12 let. a LLCA. II. Laisse les frais de la cause, par 800 fr. (huit cents francs), à la charge de l’Etat. III. Dit que la décision est exécutoire. La présidente :               Le greffier : Du La décision qui précède, lue et approuvée à huis clos, est notifiée à : ‑ Me Q.________. Toute décision de la Chambre des avocats peut faire l'objet d'un recours au Tribunal cantonal dans les trente jours dès sa communication ou sa notification. Le recours est exercé conformément à la loi sur la procédure administrative (art. 15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