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786 vom 15. September 2017</w:t>
      </w:r>
    </w:p>
    <w:p>
      <w:r>
        <w:t>VD Tribunal cantonal, 2017-09-15, FR</w:t>
      </w:r>
    </w:p>
    <w:p>
      <w:r>
        <w:rPr>
          <w:b/>
        </w:rPr>
        <w:t xml:space="preserve">Quelle: </w:t>
      </w:r>
      <w:r>
        <w:t>https://mcp.opencaselaw.ch/entscheid/vd_findinfo_D_cision___2017___786</w:t>
      </w:r>
    </w:p>
    <w:p>
      <w:r>
        <w:t>FR: VD_FINDINFO Décision / 2017 / 786 du 15 septembre 2017</w:t>
      </w:r>
    </w:p>
    <w:p>
      <w:r>
        <w:t>IT: VD_FINDINFO Décision / 2017 / 786 del 15 settembre 2017</w:t>
      </w:r>
    </w:p>
    <w:p>
      <w:pPr>
        <w:pStyle w:val="Heading2"/>
      </w:pPr>
      <w:r>
        <w:t>Regeste</w:t>
      </w:r>
    </w:p>
    <w:p>
      <w:r>
        <w:t>REJET DE LA DEMANDE, PRÉTENTION PRODUITE POSTÉRIEUREMENT, CALOMNIE, DIFFAMATION, DÉCISION D'IRRECEVABILITÉ | 173 CP, 174 CP, 31 CP, 310 CPP (CH)</w:t>
      </w:r>
    </w:p>
    <w:p>
      <w:pPr>
        <w:pStyle w:val="Heading2"/>
      </w:pPr>
      <w:r>
        <w:t>Erwägungen</w:t>
      </w:r>
    </w:p>
    <w:p>
      <w:r>
        <w:rPr>
          <w:b/>
        </w:rPr>
        <w:t>E. 1</w:t>
      </w:r>
    </w:p>
    <w:p>
      <w:r>
        <w:t>CPP) auprès de l’autorité compétente, par la partie plaignante qui a qualité pour recourir (art. 382 al. 1 CPP), le recours d’H.________ est recevable.</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Interjeté en temps utile et dans les formes prescrites (art. 385 al.</w:t>
      </w:r>
    </w:p>
    <w:p>
      <w:r>
        <w:rPr>
          <w:b/>
        </w:rPr>
        <w:t>E. 2.1.1</w:t>
      </w:r>
    </w:p>
    <w:p>
      <w:r>
        <w:t>Selon l’art. 310 al. 1 let. b CPP, le ministère public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qu’il existe des empêchements de procéder.</w:t>
      </w:r>
    </w:p>
    <w:p>
      <w:r>
        <w:rPr>
          <w:b/>
        </w:rPr>
        <w:t>E. 2.1.2</w:t>
      </w:r>
    </w:p>
    <w:p>
      <w:r>
        <w:t>Aux termes de l’art. 31 CP, le droit de porter plainte se prescrit par trois mois. Le délai court du jour où l’ayant droit a connu l’auteur de l’infraction. Ce délai impératif de trois mois concerne uniquement les infractions poursuivies sur plainte.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 TF 6B_145/2010 du 11 mai 2010 consid. 1.3; Riedo, Der Strafantrag, thèse, Fribourg 2004, pp. 444 ss). La tardiveté d’une plainte, à l’instar du retrait de la plainte (Moreillon/Parein-Reymond, Petit Commentaire du CPP, Bâle 2016, n. 13 ad art. 310 CPP), doit être assimilée à un empêchement de procéder au sens de l’art. 310 al. 1 let. b CPP, du moins lorsqu’aucune infraction poursuivie d’office n’est en cause (CREP 7 juillet 2017/462 consid. 3.2.3; CREP 8 juillet 2016 /461 consid. 3.1.2; CREP 12 décembre 2013/818).</w:t>
      </w:r>
    </w:p>
    <w:p>
      <w:r>
        <w:rPr>
          <w:b/>
        </w:rPr>
        <w:t>E. 2.2.1</w:t>
      </w:r>
    </w:p>
    <w:p>
      <w:r>
        <w:t>Conformément à l'art. 310 al. 1 let. a CPP, le procureur rend également immédiatement (cf. supra consid. 2.1.1) une ordonnance de non-entrée en matière lorsqu'il apparaît que les éléments constitutifs d'une infraction ou les conditions à l'ouverture de l'action pénale ne sont manifestement pas réunis (TF 6B_224/2016 du 3 janvier 2017 consid. 2.1.1; TF 6B_701/2014 du 14 novembre 2014 consid. 2.1; TF 1B_709/2012 du 21 février 2013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all., Petit commentaire CP, Bâle 2017, n. 52 ad art. 173 CP; Favre/Pellet/Stoudmann, Code pénal annoté, 3 e éd., Lausanne 2007/2011, n. 1.11 ad art. 14 CP; de Werra, L’avocat et la diffamation [Der Anwalt und die üble Nachrede, traduit de l’allemand], in : L’avocat suisse, n° 70, décembre 1980, p. 14). Ainsi,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 3.3).</w:t>
      </w:r>
    </w:p>
    <w:p>
      <w:r>
        <w:rPr>
          <w:b/>
        </w:rPr>
        <w:t>E. 2.3</w:t>
      </w:r>
    </w:p>
    <w:p>
      <w:r>
        <w:t>En l’espèce, on peut donner acte au recourant (cf. recours p. 4) que les allégations de la prévenue retenues par la Justice de paix dans sa décision du 21 mars 2017 proviennent du courrier adressé à cette dernière par Z.________ le 31 août 2016 et non de propos tenus par elle devant ladite autorité, contrairement à ce qu’a retenu le Ministère public. Cela ressort en effet du texte même de la décision (P. 7/1/3 pp. 3 s.) et du contenu de ce courrier (P. 7/2/2). Force est donc de constater que la plainte du 17 juillet 2017 porte exclusivement sur des propos tenus par la prévenue dans cette lettre du 31 août 2016, adressée à la Justice de paix. Le 16 septembre 2016, le conseil d’H.________ a requis de la Justice de paix qu’elle lui transmette une copie de la requête du 12 septembre 2016 tendant à la suspension du droit de visite de ce dernier, ce que cette autorité a fait. Le 20 septembre suivant, H.________, par son conseil, a déposé des déterminations sur cette requête. Cela étant, il appert que la (brève) requête du 12 septembre 2016 se bornait à se référer à la situation décrite dans le courrier du 31 août 2016 précité, qui y était annexé, et que les déterminations précitées contenaient des prises de position relatives aux allégations contenues dans ce dernier. Ainsi, force est de constater que le 20 septembre 2016 au plus tard, le recourant et son conseil avaient pris connaissance du courrier litigieux du 31 août 2016. Il s’ensuit que la plainte déposée le 17 juillet 2017 par le recourant contre Z.________ pour calomnie, respectivement diffamation, pour des propos tenus dans un courrier du 31 août 2016, dont il avait connaissance en tout cas dès le 20 septembre 2016, est manifestement tardive, ce qui constitue un empêchement de procéder au sens de l’art. 310 al. 1 let. b CPP. L’ordonnance de non-entrée en matière du 4 août 2017 doit dès lors être confirmée pour ce premier motif, sans qu’il soit nécessaire d’examiner si les propos incriminés sont susceptibles de constituer une atteinte à l’honneur. Au demeurant, le fait que le recourant ait eu la désagréable surprise de voir lesdits propos cités dans la décision de la Justice de paix n’y change rien.</w:t>
      </w:r>
    </w:p>
    <w:p>
      <w:r>
        <w:rPr>
          <w:b/>
        </w:rPr>
        <w:t>E. 2.4</w:t>
      </w:r>
    </w:p>
    <w:p>
      <w:r>
        <w:t>Par surabondance, la Cour de céans partage l’appréciation faite par le Ministère public, qui a correctement appliqué la jurisprudence relative aux art. 173-174 CP, en lien avec l’art. 14 CP. En effet, la plaignante s’est adressée à l’autorité dans le cadre d’une procédure civile afin d’attirer l’attention sur un comportement qu’elle estimait contraire aux intérêts de l’enfant. Dans ce contexte, il y a donc bien lieu de n’admettre une éventuelle atteinte à l’honneur que restrictivement. Z.________ n’a en outre pas été excessive, restant mesurée dans ses propos et ne recourant pas à des formules inutilement blessantes. Partant, même si la plainte d’H.________ n’était pas tardive, l’ordonnance de non-entrée en matière devrait être confirmée pour ce second motif (art. 310 al. 1 let. a CPP) et son recours rejeté.</w:t>
      </w:r>
    </w:p>
    <w:p>
      <w:r>
        <w:rPr>
          <w:b/>
        </w:rPr>
        <w:t>E. 3</w:t>
      </w:r>
    </w:p>
    <w:p>
      <w:r>
        <w:t>Il résulte de ce qui précède que le recours, manifestement mal fondé, doit être rejeté sans autre échange d’écritures (art. 390 al. 2 CPP) et l’ordonnance du 4 août 2017 confirmée. Les frais de la procédure de recours, constitués en l’espèce du seul émolument d’arrêt (art. 422 al. 1 CPP), par 880 fr. (art. 20 al. 1 TFIP [tarif des frais de procédure et indemnités en matière pénale du 28 septembre 2010; RSV 312.03.1]), seront mis à la charge du recourant, qui succombe (art. 428 al. 1 CPP). Ils seront compensés à due concurrence avec le montant de 550 fr. déjà versé à titre de sûretés (art. 383 al. 1 CPP; art. 7 TFIP; CREP 2 juin 2017/322). Par ces motifs, la Chambre des recours pénale prononce : I. Le recours est rejeté. II. L’ordonnance du 4 août 2017 est confirmée. III. Les frais d'arrêt, par 880 fr. (huit cent huitante francs), sont mis à la charge du recourant. IV. Les frais mis à la charge du recourant au chiffre III ci-dessus sont partiellement compensés avec le montant de 550 fr. (cinq cent cinquante francs) déjà versé par celui-ci à titre de sûretés. V. L’arrêt est exécutoire. Le président :               Le greffier : Du Le présent arrêt, dont la rédaction a été approuvée à huis clos, est notifié, par l'envoi d'une copie complète, à : - M.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