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776 vom 3. Oktober 2017</w:t>
      </w:r>
    </w:p>
    <w:p>
      <w:r>
        <w:t>VD Tribunal cantonal, 2017-10-03, FR</w:t>
      </w:r>
    </w:p>
    <w:p>
      <w:r>
        <w:rPr>
          <w:b/>
        </w:rPr>
        <w:t xml:space="preserve">Quelle: </w:t>
      </w:r>
      <w:r>
        <w:t>https://mcp.opencaselaw.ch/entscheid/vd_findinfo_D_cision___2017___776</w:t>
      </w:r>
    </w:p>
    <w:p>
      <w:r>
        <w:t>FR: VD_FINDINFO Décision / 2017 / 776 du 3 octobre 2017</w:t>
      </w:r>
    </w:p>
    <w:p>
      <w:r>
        <w:t>IT: VD_FINDINFO Décision / 2017 / 776 del 3 ottobre 2017</w:t>
      </w:r>
    </w:p>
    <w:p>
      <w:pPr>
        <w:pStyle w:val="Heading2"/>
      </w:pPr>
      <w:r>
        <w:t>Regeste</w:t>
      </w:r>
    </w:p>
    <w:p>
      <w:r>
        <w:t>ORDONNANCE PÉNALE, FICTION DE LA NOTIFICATION, DOMICILE ÉLU | 353 CPP (CH), 355 CPP (CH), 356 CPP (CH), 85 CPP (CH), 87 CPP (CH)</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w:t>
      </w:r>
    </w:p>
    <w:p>
      <w:r>
        <w:rPr>
          <w:b/>
        </w:rPr>
        <w:t>E. 1.2</w:t>
      </w:r>
    </w:p>
    <w:p>
      <w:r>
        <w:t>En l’espèce, interjeté en temps utile devant l’autorité compétente par le prévenu, qui a qualité pour recourir (art. 382 al. 1 CPP), le recours est recevable.</w:t>
      </w:r>
    </w:p>
    <w:p>
      <w:r>
        <w:rPr>
          <w:b/>
        </w:rPr>
        <w:t>E. 2</w:t>
      </w:r>
    </w:p>
    <w:p>
      <w:r>
        <w:t>e éd., Bâle 2014, n. 2 ad art. 356 CPP; CREP 30 mai 2017/359; CREP 9 septembre 2016/605).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RSV 312.01]; art. 80 LOJV [Loi vaudoise du 12 décembre 1979 d'organisation judiciaire; RSV 173.01]).</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w:t>
      </w:r>
    </w:p>
    <w:p>
      <w:r>
        <w:rPr>
          <w:b/>
        </w:rPr>
        <w:t>E. 2.2</w:t>
      </w:r>
    </w:p>
    <w:p>
      <w:r>
        <w:t>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Concrètement la notification est réputée parfaite dès l’instant où le destinataire en a pris connaissance ou que l’acte entre dans sa sphère de puissance (Moreillon/Parein-Reymond, Petit commentaire, Code de procédure pénale, 2 e éd., Bâle 2016, n. 13 ad art. 85 CPP). Selon l’art. 87 al. 1 CPP, toute communication doit être notifiée au domicile, au lieu de résidence habituelle ou au siège du destinataire. Cette disposition n'empêche pas les parties de communiquer aux autorités pénales une adresse de notification autre que celle de leur domicile, résidence habituelle ou siège (ATF 139 IV 228 consid. 1.1). Si elles le font, la notification doit en principe intervenir à l'adresse donnée, sous peine d'être jugée irrégulière (ATF 139 IV 228 consid. 1.2). De jurisprudence constante, celui qui se sait partie à une procédure judiciaire – et qui doit dès lors s'attendre à recevoir notification d'actes du juge – est tenu de relever son courrier ou, s'il s'absente de son domicile, de prendre des dispositions pour que celui-ci lui parvienne néanmoins. À ce défaut, il est réputé avoir eu, à l'échéance du délai de garde, connaissance du contenu des plis recommandés que le juge lui adresse (ATF 139 IV 228 consid. 1.1; ATF 138 III 225 consid. 3.1; ATF 130 III 396 consid. 1.2.3). Une telle obligation signifie que le destinataire doit, le cas échéant, désigner un représentant, faire suivre son courrier, informer les autorités de son absence ou leur indiquer une adresse de notification (ATF 139 IV 228 consid. 1.1; ATF 117 V 131 consid. 4a).</w:t>
      </w:r>
    </w:p>
    <w:p>
      <w:r>
        <w:rPr>
          <w:b/>
        </w:rPr>
        <w:t>E. 2.3</w:t>
      </w:r>
    </w:p>
    <w:p>
      <w:r>
        <w:t>En l’espèce, le recourant a retourné au Ministère public le courrier que celui-ci lui avait envoyé le 14 octobre 2016, avec des indications manuscrites, en demandant expressément que les prochains envois lui soient expédiés à l’adresse de son employeur (P. 8). En vertu de cette élection de domicile, c’est à juste titre que le Procureur lui a envoyé le mandat de comparution du 24 novembre 2016 et l’ordonnance pénale du 10 mars 2017 à l’adresse de l’entreprise R.________Sàrl; il en avait même l’obligation (cf. ATF 139 IV 228 précité consid. 1.2). La notification de l’ordonnance pénale litigieuse est ainsi intervenue régulièrement. Cela étant, il ressort du relevé du suivi des envois de la Poste suisse que le pli contenant l’ordonnance pénale du 10 mars 2017, envoyée au recourant à l’adresse de son employeur, conformément à sa demande, a été distribué le 13 mars 2017. Il s’ensuit que le délai de 10 jours pour former opposition arrivait à échéance le 23 mars suivant. Formée le 7 avril 2017, l’opposition de X.________ était ainsi tardive et, partant, irrecevable, les délais légaux n’étant pas prolongeables (art. 89 al. 1 CPP). En outre, X.________ savait incontestablement qu’une procédure pénale avait été ouverte à son encontre, puisqu’il avait été entendu par la police en qualité de prévenu le 3 juin 2016 (cf. PV aud. 2), qu’il avait reçu et renvoyé le courrier du Ministère public du 14 octobre précité – dans lequel le Procureur avait d’ailleurs fait part de son intention de rendre une ordonnance pénale – (P. 7-8) et qu’il avait été cité à comparaître par mandat du 24 novembre 2016. Partant, il lui appartenait de prendre toute mesure utile afin de recevoir d’éventuelles notifications, y compris, comme l’a relevé le Procureur, en avisant le service compétent au sein de son entreprise, afin que le courrier qui lui était adressé lui soit remis immédiatement. Son opposition à l’ordonnance pénale du 10 mars 2017 était ainsi tardive, quand bien même il prétend n’avoir été avisé par personne de sa notification et n’avoir pu en prendre connaissance que le 29 mars 2017. Enfin, on relèvera que le Ministère public était en droit d’ouvrir une instruction et d’entendre le prévenu malgré l’invalidité de l’opposition (art. 157 al. 1 et 355 al. 1 CPP) – même s’il n’en avait pas l’obligation (art. 309 al. 4 CPP) – et ensuite de se prévaloir de celle-ci devant le Tribunal de police, seul compétent pour statuer sur cette question, qui constitue au demeurant une condition du procès (art. 356 al. 1 et 2 CPP; TF 6B_368/2012 du 17 août 2012 consid. 2.1 et les références citées).</w:t>
      </w:r>
    </w:p>
    <w:p>
      <w:r>
        <w:rPr>
          <w:b/>
        </w:rPr>
        <w:t>E. 3</w:t>
      </w:r>
    </w:p>
    <w:p>
      <w:r>
        <w:t>En définitive, le recours doit être rejeté et le prononcé du 29 juin 2017 confirmé. Vu le sort du recours, les frais de la procédure, constitués en l’espèce de l’émolument d’arrêt, par 770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29 juin 2017 est confirmé. III. Les frais d’arrêt, par 770 fr. (sept cent septante francs), sont mis à la charge du recourant. IV. L’arrêt est exécutoire. Le président :               Le greffier : Du Le présent arrêt, dont la rédaction a été approuvée à huis clos, est notifié, par l'envoi d'une copie complète, à : - M. X.________, - M. W.________, - Ministère public central, et communiqué à : ‑ M. le Président du Tribunal de police de l’arrondissement de La Côte, - M. le Procureur de l’arrondissement de La Côte, - Service de la population, - Service des automobiles et de la navigation,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