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694 vom 18. Oktober 2017</w:t>
      </w:r>
    </w:p>
    <w:p>
      <w:r>
        <w:t>VD Tribunal cantonal, 2017-10-18, FR</w:t>
      </w:r>
    </w:p>
    <w:p>
      <w:r>
        <w:rPr>
          <w:b/>
        </w:rPr>
        <w:t xml:space="preserve">Quelle: </w:t>
      </w:r>
      <w:r>
        <w:t>https://mcp.opencaselaw.ch/entscheid/vd_findinfo_D_cision___2017___694</w:t>
      </w:r>
    </w:p>
    <w:p>
      <w:r>
        <w:t>FR: VD_FINDINFO Décision / 2017 / 694 du 18 octobre 2017</w:t>
      </w:r>
    </w:p>
    <w:p>
      <w:r>
        <w:t>IT: VD_FINDINFO Décision / 2017 / 694 del 18 ottobre 2017</w:t>
      </w:r>
    </w:p>
    <w:p>
      <w:pPr>
        <w:pStyle w:val="Heading2"/>
      </w:pPr>
      <w:r>
        <w:t>Regeste</w:t>
      </w:r>
    </w:p>
    <w:p>
      <w:r>
        <w:t>REFUS D'ENTRER EN MATIÈRE SUR CERTAINS GRIEFS, DROIT D'ÊTRE ENTENDU, MOTIVATION DE LA DÉCISION, ESCROQUERIE, GESTION DÉLOYALE, ATTEINTE ASTUCIEUSE AUX INTÉRÊTS PÉCUNIAIRES, FAUX MATÉRIEL DANS LES TITRES, OBTENTION FRAUDULEUSE D'UNE CONSTATATION FAUSSE, INDUCTION DE LA JUSTICE EN ERREUR | 146 CP, 151 CP, 158 CP, 251 CP, 304 CP, 29 al. 2 Cst.,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w:t>
      </w:r>
    </w:p>
    <w:p>
      <w:r>
        <w:rPr>
          <w:b/>
        </w:rPr>
        <w:t>E. 1.2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non-entrée en matière est ainsi subordonnée à la condition qu'ils soient directement touchés par l'infraction et puissent faire valoir un intérêt juridiquement protégé à l'annulation de la décision (TF 1B_489/2011 du 24 janvier 2012 consid. 2.1).</w:t>
      </w:r>
    </w:p>
    <w:p>
      <w:r>
        <w:rPr>
          <w:b/>
        </w:rPr>
        <w:t>E. 1.3</w:t>
      </w:r>
    </w:p>
    <w:p>
      <w:r>
        <w:t>En l’espèce, les recourants n’ont pas développé de grief contre le refus d’entrer en matière s’agissant de l’infraction d’induction de la justice en erreur (art. 304 CP [Code pénal du 21 décembre 1937; RS 311.0]) initialement dénoncée. Ils concluent toutefois à l’annulation pure et simple de l’ordonnance de non-entrée en matière. Le recours doit donc être déclaré irrecevable en tant qu’il vise la non-entrée en matière sur l’infraction d’induction de la justice en erreur au sens de l’art. 304 CP (cf. CREP 23 décembre 2014/917 consid. 3), dès lors que cette disposition a pour but la protection exclusive de la justice pénale (Dupuis et alii , Petit commentaire CP, 2 e éd., Bâle 2017, n. 1 ad art. 304 CP) et non des intérêts de particuliers, de sorte que les recourants ne peuvent pas prétendre à la qualité de lésé, ni à un intérêt juridiquement protégé en ce qui concerne cette question. Pour le surplus, interjeté dans le délai légal auprès de l’autorité compétente par les plaignants qui ont qualité pour recourir (art. 382 al. 1 CPP), et dans les formes prescrites (art. 385 al. 1 CPP), le recours est recevable.</w:t>
      </w:r>
    </w:p>
    <w:p>
      <w:r>
        <w:rPr>
          <w:b/>
        </w:rPr>
        <w:t>E. 2</w:t>
      </w:r>
    </w:p>
    <w:p>
      <w:r>
        <w:t>Cst.) comporte plusieurs facettes, dont également le droit de faire administrer des preuves (cf. art. 107 al. 1 let. e CPP; Moreillon/Parein-Reymond, Petit Commentaire CPP, 2 e éd., Bâle 2016, n. 23 ad art.</w:t>
      </w:r>
    </w:p>
    <w:p>
      <w:r>
        <w:rPr>
          <w:b/>
        </w:rPr>
        <w:t>E. 2.1.1</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w:t>
      </w:r>
    </w:p>
    <w:p>
      <w:r>
        <w:rPr>
          <w:b/>
        </w:rPr>
        <w:t>E. 2.1.2</w:t>
      </w:r>
    </w:p>
    <w:p>
      <w:r>
        <w:t>Le droit d’être entendu (art. 29 al.</w:t>
      </w:r>
    </w:p>
    <w:p>
      <w:r>
        <w:rPr>
          <w:b/>
        </w:rPr>
        <w:t>E. 2.1.3</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2.2</w:t>
      </w:r>
    </w:p>
    <w:p>
      <w:r>
        <w:t>En l’espèce, les recourants font en premier lieu valoir que l’ordonnance attaquée serait insuffisamment motivée en tant qu’elle écarte les infractions dénoncées. Le Ministère public a notamment considéré que la lettre adressée aux époux A.C.________ par G.________ le 2 juin 2016 ne saurait être considérée comme un faux, ce dernier n'ayant fait que son travail de mandataire en agissant pour le compte de la régie F.________ afin d'obtenir le remboursement de loyers impayés, que le fait de mentionner "je suis consulté par L.________ p.a. F.________ à Lausanne" n'était pas contraire à la vérité compte tenu des procurations existantes, qu'aucun élément au dossier ne permettait de retenir que la procuration signée le 3 juin 2016 entre F.________ et G.________ serait un faux, que les commandements de payer du 8 juin 2016 n'étaient que "la suite logique" du courrier du 2 juin 2016, que le fait qu'ils aient été retirés ne saurait être considéré comme un indice de tentative de contrainte, dans la mesure où la régie, qui avait mandaté l'agent d'affaires breveté, n'avait aucun intérêt à ce que ses locataires ne quittent pas la chose louée dans les délais, que la requête d'exécution forcée du 6 octobre 2016 découlait de la transaction judiciaire du 13 mars 2014 et que, lors du dépôt de ladite requête, L.________ était toujours inscrite comme propriétaire de l'immeuble en cause et qu’en définitive, au vu du dossier et de la plainte des époux A.C.________, les éléments constitutifs des infractions invoquées n'étaient clairement pas réalisés. Cette motivation est suffisante et permettait aux recourants de comprendre la position adoptée par le Ministère public et de l’attaquer efficacement devant la Cour de céans, ce qu’ils ont d’ailleurs fait. Au demeurant, même en admettant l’existence du vice formel invoqué, celui-ci serait guéri en procédure de recours, les recourants ayant eu la possibilité de s'exprimer et de recevoir une décision motivée de la Chambre des recours pénale, qui dispose d'un pouvoir d'examen complet en fait et en droit (art. 393 al. 2 CPP; CREP 15 juin 2017/392 consid. 2.3; CREP 31 juillet 2015/514 consid. 2.5). L’ordonnance attaquée ne saurait donc être annulée pour ce motif.</w:t>
      </w:r>
    </w:p>
    <w:p>
      <w:r>
        <w:rPr>
          <w:b/>
        </w:rPr>
        <w:t>E. 2.3</w:t>
      </w:r>
    </w:p>
    <w:p>
      <w:r>
        <w:t>Les recourants se plaignent également d’une violation de leur droit d’être entendu, en ce sens qu’aucune administration des preuves n’aurait eu lieu. Une ordonnance de non-entrée en matière peut être rendue à réception de la dénonciation, de la plainte ou du rapport de police et ceci avant qu’il ne soit procédé à de plus amples actes d’enquête et qu’une instruction soit ouverte (TF 1B_67/2012 du 29 mai 2012 consid. 2.1 et la référence citée; Moreillon/Parein-Reymond, op. cit., n. 4 ad. art. 310 CPP). En l’occurrence, les recourants ne peuvent donc pas, à ce stade de la procédure, faire grief au Ministère public d’avoir méconnu leur droit à la preuve – ni, du reste, d’avoir rendu son ordonnance en seulement dix jours –, sauf à avoir violé les conditions d’application de l’art. 310 CPP (cf. infra consid. 3.2), respectivement d’avoir apprécié les preuves préexistantes en violation de l’art. 139 al. 2 CPP. Il s’ensuit que le grief soulevé – au sens formel du terme – par les recourants se confond, en définitive, avec l’examen du bien-fondé du refus d’entrer en matière sur les infractions dénoncées, auquel il sera procédé au considérant qui suit, et qui, en cas d’admission du recours, entraînera de facto une ouverture d’instruction.</w:t>
      </w:r>
    </w:p>
    <w:p>
      <w:r>
        <w:rPr>
          <w:b/>
        </w:rPr>
        <w:t>E. 3</w:t>
      </w:r>
    </w:p>
    <w:p>
      <w:r>
        <w:t>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ATF 131 I 153 consid. 3).</w:t>
      </w:r>
    </w:p>
    <w:p>
      <w:r>
        <w:rPr>
          <w:b/>
        </w:rPr>
        <w:t>E. 3.1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3.2</w:t>
      </w:r>
    </w:p>
    <w:p>
      <w:r>
        <w:t>Aux termes de l’art. 9 Cst., toute personne a le droit d'être traitée par les organes de l'Etat sans arbitraire et conformément aux règles de la bonne foi. Selon la jurisprudence, l'arbitraire prohibé par l'art. 9 Cst. ne résulte pas du seul fait qu'une autre solution pourrait entrer en considération ou même qu'elle serait préférable; une décision n’est 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ATF 128 I 273 consid. 2.1 et les arrêts cités).</w:t>
      </w:r>
    </w:p>
    <w:p>
      <w:r>
        <w:rPr>
          <w:b/>
        </w:rPr>
        <w:t>E. 4</w:t>
      </w:r>
    </w:p>
    <w:p>
      <w:r>
        <w:t>Les recourants prétendent en substance avoir été induits en erreur par les prévenus et avoir, de ce fait, ouvert de nombreuses procédures qui, s’ils avaient eu connaissance du décès en mars 2016 de L.________, seraient devenues sans objet. G.________ et X.________ leur auraient ainsi causé un dommage en représentant L.________ sans droit, alors qu’elle était décédée, ce qu’ils n’auraient pas ignoré et avec l’intention de leur causer un dommage et de s’enrichir.</w:t>
      </w:r>
    </w:p>
    <w:p>
      <w:r>
        <w:rPr>
          <w:b/>
        </w:rPr>
        <w:t>E. 4.1.1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 4.3;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 op. cit., nn. 11 ss ad art. 146 CP et les références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entre ce dernier ce dernier et un dommage (ATF 128 IV 256 consid. 2e; ATF 115 IV 32 consid. 3a; Corboz, Les infractions en droit suisse vol. 1, Berne 2010, nn. 31 et 38 ad art. 146 CP; Dupuis et alii , op. cit., n. 32 ad art. 146 CP). Il y a notamment « escroquerie au procès » lorsque l’auteur, par une tromperie astucieuse, amène le juge à trancher en défaveur de la partie adverse (ATF 122 IV 197 consid. 2, JdT 1997 IV 145).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4.1.2</w:t>
      </w:r>
    </w:p>
    <w:p>
      <w:r>
        <w:t>S'agissant de l'infraction décrite à l'art. 151 CP (atteinte astucieuse aux intérêts pécuniaires d'autrui), elle sanctionne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w:t>
      </w:r>
    </w:p>
    <w:p>
      <w:r>
        <w:rPr>
          <w:b/>
        </w:rPr>
        <w:t>E. 4.2.1</w:t>
      </w:r>
    </w:p>
    <w:p>
      <w:r>
        <w:t>La jurisprudence qualifie le contrat de gérance d’immeuble – par lequel une personne (le gérant, la régie) s’engage envers une autre (le bailleur) à assumer des services nécessaires à la gestion d’un immeuble, notamment l’encaissement des loyers et charges, le choix et la recherche de locataires, le paiement des dettes courantes d’exploitation et la surveillance générale de l’immeuble – de mandat, voire de contrat sui generis auquel s’appliquent les règles du mandat (ATF 106 II 157 consid. 2a; ATF 104 II 108 consid. 1; ATF 99 Ib 440 consid. 3; TF 4A_284/2013 du 13 février 2014 consid. 3.5.2 ; CACI 1 er février 2016/61 consid. 3.2), le gérant assumant le rôle de mandataire et le bailleur celui de mandant.</w:t>
      </w:r>
    </w:p>
    <w:p>
      <w:r>
        <w:rPr>
          <w:b/>
        </w:rPr>
        <w:t>E. 4.2.2</w:t>
      </w:r>
    </w:p>
    <w:p>
      <w:r>
        <w:t>A teneur de l’art. 405 al. 1 CO (Loi fédérale complétant le Code civil suisse, livre cinquième : Droit des obligations; RS 220), le mandat finit par la perte de l'exercice des droits civils, par la faillite, par la mort ou par la déclaration d'absence soit du mandant, soit du mandataire, à moins que le contraire n'ait été convenu ou ne résulte de la nature de l'affaire. Les règles sur la représentation (art. 32 ss CO) prévoient une règle similaire en ce sens que les pouvoirs découlant d'un acte juridique s'éteignent notamment par la perte de l'exercice des droits civils, à moins que le contraire n'ait été ordonné ou ne résulte de la nature de l'affaire (art. 35 al. 1 CO). L’art. 405 al. 2 CO prévoit en outre que si l'extinction du mandat met en péril les intérêts du mandant, le mandataire, ses héritiers ou son représentant sont tenus de continuer la gestion jusqu'à ce que le mandant, ses héritiers ou son représentant soient en mesure d'y pourvoir eux-mêmes. En cas de décès du mandant en cours de procédure et à défaut de convention réglant cette éventualité, le mandat de l'avocat s'étend jusqu'à la fin du procès (art. 405 al. 2 CO; ATF 110 V 389 consid. 2c; ATF 75 II 190, JdT 1950 I 296; CCIV 20 décembre 2012/153 et les références citées).</w:t>
      </w:r>
    </w:p>
    <w:p>
      <w:r>
        <w:rPr>
          <w:b/>
        </w:rPr>
        <w:t>E. 4.3.1</w:t>
      </w:r>
    </w:p>
    <w:p>
      <w:r>
        <w:t>Il est en premier lieu reproché à G.________ d’avoir écrit aux plaignants, le 2 juin 2016, qu’il était « consulté par L.________ », de s’être prévalu d’une procuration signée le lendemain lui permettant de représenter la défunte, qui serait un faux, et d’avoir engagé des poursuites à leur encontre le 8 juin suivant, alors qu’il avait connaissance du décès de la prénommée. A titre liminaire, il y a lieu de relever que, le 11 avril 2012, la régie immobilière F.________ et L.________ avaient conclu un contrat et signé une procuration permettant notamment à la première, pour le compte de la seconde, de conclure et résilier des baux, d’exécuter des procédures de recouvrement (y compris des poursuites et procédures judiciaires), d’exécuter des procédures d'expulsion, de représenter le propriétaire auprès des autorités de conciliation avec le pouvoir de transiger ou de se désister, de représenter le propriétaire auprès des autorités judiciaires et confier, si nécessaire, des dossiers litigieux à un agent d'affaire ou à un avocat. Cette relation contractuelle constituait incontestablement un contrat (de gérance) soumis aux règles sur le mandat (art. 394 ss CO). Il s’ensuit qu’après le décès de L.________, la régie F.________ était tenue de veiller aux intérêts de cette dernière tant et aussi longtemps que ses héritiers n’étaient pas en mesure de le faire, ce qui n’était assurément pas le cas au mois de juin 2016, puisque les certificats d’héritiers ont été délivrés le 19 juillet 2016 et que les enfants de L.________ ont été inscrits au Registre foncier en qualité de propriétaires de l’immeuble loué aux recourants le 28 juillet 2016. Partant, au mois de juin 2016, la régie immobilière F.________ était fondée à mandater un agent d’affaires breveté en vue de procéder au recouvrement de loyers impayés, ce qu’elle a fait, en signant en son propre nom (cf. procuration du 3 juin 2016 in fine [P. 4/15] et infra consid. 6.2) une procuration en faveur de G.________. Si la formulation du courrier rédigé par ce dernier le 2 juin 2016 pouvait laisser entendre que L.________ était encore en vie, on relèvera, avec le Ministère public, qu’il n’était pas contraire à la vérité puisque comme on vient de le voir, G.________ était parfaitement habilité à représenter cette dernière. Il est d’ailleurs d’usage, pour les avocats et agents d’affaires, de débuter un courrier par les termes « je suis consulté par » ou « agissant pour le compte de ». De surcroît, le courrier précisait encore p.a. F.________ à Lausanne ». On ne saurait donc déduire de ce courrier et du dépôt de poursuites qui a suivi, le 8 juin 2016, que G.________ aurait agi astucieusement, ni qu’il aurait dissimulé le décès de sa « sous-mandante » intentionnellement, ni encore qu’il aurait eu pour dessein de s’enrichir aux dépens des recourants. Du reste, le 21 septembre 2016, il a écrit au conseil des recourants que ces poursuites avaient été engagées en raison de loyers qui n’avaient pas été payés à temps et qu’il en avait requis le retrait. Il apparaît ainsi qu’il a uniquement exécuté le travail pour lequel il avait été valablement mandaté par la régie F.________. Par surabondance, le décès de L.________ n’avait aucune relation avec ces éléments, puisque les plaignants auraient quoi qu’il en soit formé opposition aux commandements de payer qui leur avaient été notifiés et requis le retrait des poursuites litigieuses. Le lien de causalité fait donc également défaut, sans qu’aucune mesure d’instruction ne soit de nature à établir ce dernier. En ce qui concerne ces faits, force est donc de constater que les éléments constitutifs d’une éventuelle escroquerie font manifestement défaut, tout comme ceux relatifs à l’infraction réprimée par l’art. 151 CP.</w:t>
      </w:r>
    </w:p>
    <w:p>
      <w:r>
        <w:rPr>
          <w:b/>
        </w:rPr>
        <w:t>E. 4.3.2</w:t>
      </w:r>
    </w:p>
    <w:p>
      <w:r>
        <w:t>Il est ensuite reproché à G.________ d’avoir, le 6 octobre 2016, déposé une requête devant la Justice de paix du district de Morges contre les époux A.C.________, tendant à l’exécution de la transaction judiciaire passée avec L.________ le 13 mars 2014, alors qu’elle était décédée. Il se pose ici la question de savoir si G.________ était encore habilité à agir pour le compte de L.________, sur mandat de la régie F.________, dans la mesure où il faut donner acte aux recourants que, contrairement à ce qu’a constaté le Ministère public, cette dernière n’était plus inscrite au Registre foncier en qualité de propriétaire de l’immeuble litigieux depuis le 28 juillet 2016 (P. 6/2/2). Tel paraît toutefois être le cas, en application de l’art. 405 al. 2 CO, les héritiers de L.________ ne semblant pas avoir été en mesure d’intervenir avant que la procédure d’exécution forcée ne soit portée devant le Tribunal fédéral. Au surplus, on doit considérer qu’il résulte de la nature du contrat de gérance conclu entre F.________ et L.________ que la gestion de l’immeuble loué se poursuivait après le décès de cette dernière, dans le but de sauvegarder les droits des héritiers, qui venaient de revêtir cette qualité. Certes, lors du dépôt de la requête d’exécution forcée litigieuse, G.________ ne semble pas avoir indiqué que L.________ était décédée, ni qu’il aurait saisi la justice de paix pour le compte des héritiers de cette dernière. Cela étant, force est de constater qu’il a agi de la sorte, par mandat donné par la régie F.________, qui avait assisté L.________ lors de l’audience du 13 mars 2014, afin d’obtenir l’exécution forcée de la transaction judiciaire conclue avec les recourants à cette date. Or, au stade de l’exécution forcée de cette transaction, il importait peu de savoir pour quel motif la résiliation avait initialement été donnée, dès lors que seuls des faits s’opposant à l’exécution au sens de l’art. 343 al. 3 CPC (Code de procédure civile du 19 décembre 2008; RS 272) pouvaient être invoqués à ce stade (cf. P. 4/12 pp. 3-4, arrêt CREC du 19 janvier 2017/29 et TF 4A_43/2017). Il s’ensuit que – sous réserve de la question de la légitimation active qui se posait – le décès de L.________ n’aurait pas empêché les prévenus d’obtenir une décision civile favorable. Par ailleurs, les instances civiles ont considéré que les recourants occupaient illicitement l’immeuble loué depuis le 30 septembre 2016 ( ibidem ). Partant, dans le prolongement du mandat initialement confié à la régie F.________, celle-ci, respectivement G.________, ont manifestement agi sans intention dolosive dans l’intérêt de L.________ et de ses héritiers, qui ont d’ailleurs été substitués à la défunte, après être intervenus au cours de la procédure devant le Tribunal fédéral. Enfin, on ne peut pas reprocher aux prévenus d’avoir agi astucieusement, dans la mesure où aucun élément n’atteste qu’ils auraient usé d’un quelconque moyen subtile ou fallacieux pour faire admettre la légitimation active de L.________. Il n’y a pas non plus lieu d’imputer à G.________ un tel comportement, s’agissant du dépôt d’une requête devant une autorité judiciaire devant en examiner d’office les conditions de recevabilité (cf. art. 59 let. c CPC). Il était en effet facile pour ladite autorité d’examiner ces conditions, le statut d’agent d’affaires breveté du prénommé n’étant pas déterminant à cet égard. Les éléments constitutifs des infractions réprimées par les art. 146 et 151 CP font donc également manifestement défaut ici, sans qu’aucune mesure d’instruction ne soit de nature à démontrer le contraire.</w:t>
      </w:r>
    </w:p>
    <w:p>
      <w:r>
        <w:rPr>
          <w:b/>
        </w:rPr>
        <w:t>E. 4.3.3</w:t>
      </w:r>
    </w:p>
    <w:p>
      <w:r>
        <w:t>Les recourants reprochent encore aux prévenus d’avoir représenté L.________ lors de l’audience devant la Commission de conciliation le 1 er novembre 2016, malgré son décès. Ici encore, il n’y a nul besoin de répondre à la question de savoir si les prévenus pouvaient valablement représenter L.________, étant précisé que les observations faites à cet égard au considérant qui précède valent mutatis mutandis . Contrairement à ce qu’allèguent les recourants, il ne ressort pas du procès-verbal de conciliation du 1 er novembre 2016 que les prévenus auraient expressément demandé une dispense de comparution en faveur de L.________. Certes, ils ne semblent pas avoir fait mention de son décès. Cela ne suffit toutefois pas à qualifier leur comportement d’astucieux. D’une part, si les prévenus ont comparu pour le compte de L.________ dans le cadre de cette audience, c’est avant tout en raison de la requête de conciliation déposée par les recourants eux-mêmes, en raison de défauts qui auraient affecté l’immeuble loué et pour faire valider la consignation de leur loyer. Le décès de L.________ ne jouait donc aucun rôle dans le cadre de cette procédure. D’autre part, des membres de la régie F.________ avaient déjà comparu en lieu et place de L.________ le 8 décembre 2015 en raison de faits similaires. Il apparaît donc ici également que les prévenus ont agi dans le prolongement du mandat confié à la régie précitée, sans conscience ni volonté de nuire aux recourants, et encore moins avec le dessein de se procurer un enrichissement illégitime. Les éléments constitutifs d’une éventuelle escroquerie ou atteinte astucieuse aux intérêts pécuniaires d’autrui font donc, ici encore, manifestement défaut.</w:t>
      </w:r>
    </w:p>
    <w:p>
      <w:r>
        <w:rPr>
          <w:b/>
        </w:rPr>
        <w:t>E. 5</w:t>
      </w:r>
    </w:p>
    <w:p>
      <w:r>
        <w:t>Les recourants reprochent ensuite aux prévenus de s’être rendus coupables de gestion déloyale, en gérant les affaires de L.________ et en intentant plusieurs procédures judiciaires sans son accord et dans l’unique but de profiter d’avantages financiers en découlant.</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 (ATF 123 IV 17 consid. 3e).</w:t>
      </w:r>
    </w:p>
    <w:p>
      <w:r>
        <w:rPr>
          <w:b/>
        </w:rPr>
        <w:t>E. 5.2</w:t>
      </w:r>
    </w:p>
    <w:p>
      <w:r>
        <w:t>En l’espèce, les recourants méconnaissent la notion de gestion déloyale contenue à l’art. 158 CP. En effet, pour que cette infraction puisse être retenue, il faut notamment que l’auteur, qui doit revêtir la qualité de gérant, viole un devoir de gestion ou un devoir inhérent à cette qualité. En l’occurrence, la régie F.________ était tenue gérer l’immeuble de L.________, respectivement ses intérêts pécuniaires découlant de cette gestion. Il en va de même de G.________, mandaté par ladite régie pour représenter les intérêts de L.________ dans le cadre de litiges. Or, à l’évidence, les prévenus n’ont pas violé un devoir de gestion inhérent à cette qualité, ni encore porté atteinte aux intérêts pécuniaires de L.________, respectivement de ses héritiers. Au contraire, ainsi qu’on l’a vu ci-avant (cf. supra consid. 4.3), ils ont toujours agi dans le sens desdits intérêts, en se préoccupant du recouvrement des loyers, en requérant l’exécution forcée de la convention du 13 mars 2014 que les recourants n’avaient pas respectée, occupant ainsi les locaux loués de façon illicite, et en représentant les intérêts de L.________, respectivement de ses héritiers, devant la Commission de conciliation. Il s’ensuit que les éléments constitutifs d’une gestion déloyale ne sont manifestement pas réunis en l’espèce.</w:t>
      </w:r>
    </w:p>
    <w:p>
      <w:r>
        <w:rPr>
          <w:b/>
        </w:rPr>
        <w:t>E. 6</w:t>
      </w:r>
    </w:p>
    <w:p>
      <w:r>
        <w:t>Les recourants prétendent que le courrier de G.________ du 2 juin 2016 et la procuration du 3 juin 2016 signée en sa faveur constitueraient des faux.</w:t>
      </w:r>
    </w:p>
    <w:p>
      <w:r>
        <w:rPr>
          <w:b/>
        </w:rPr>
        <w:t>E. 6.1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protège, en tant que biens juridiques, d’une part la confiance particulière qui est placée dans un titre ayant la valeur probante dans les rapports juridiques et, d’autre part, la loyauté dans les relations commerciales (ATF 129 IV 53 consid. 3.2, JdT 2006 IV 7; Dupuis et al., op. cit., Bâle 2017,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w:t>
      </w:r>
    </w:p>
    <w:p>
      <w:r>
        <w:rPr>
          <w:b/>
        </w:rPr>
        <w:t>E. 6.2</w:t>
      </w:r>
    </w:p>
    <w:p>
      <w:r>
        <w:t>En l’espèce, on relèvera d’abord que le courrier du 2 juin 2016 (P. 4/6), dans lequel G.________ a écrit « je suis consulté par L.________ p.a. F.________ à Lausanne », ne revêt pas la qualité de titre au sens de la jurisprudence précitée, s’agissant d’un simple courrier. Quoi qu’il en soit, si sa formulation pouvait laisser entendre que L.________ était encore en vie, ce n’est pas cet élément qui devait emporter la conviction du lecteur, mais bien le fait que G.________ représentait les intérêts de cette dernière. Or, ainsi qu’on l’a vu ci-avant, ce dernier élément, seul à avoir une portée juridique, était véridique (cf. supra consid. 4.3.1). Quant à la procuration datée du 3 juin 2016 (P. 4/15), elle prévoit que F.________ (…) déclare donner procuration avec pouvoir de substitution à G.________ (…) et y élire domicile, aux fins de représenter et d’agir en son nom, contre A.C.________ et B.C.________ (…) ». Ce document, manifestement signé par un représentant de la régie immobilière F.________, ne fait aucunement mention de L.________ et ne donne ainsi pas faussement l’impression que cette dernière aurait elle-même donné un quelconque pouvoir à G.________. Pour le surplus, il a déjà été dit que F.________ avait le pouvoir de mandater un agent d’affaires breveté au nom et pour le compte de L.________ en vertu de la relation contractuelle conclue avec cette dernière le 11 avril 2012 (cf. supra consid. 4.3.1). Ces deux documents ne constituent donc manifestement pas des faux au sens de l’art. 251 CP.</w:t>
      </w:r>
    </w:p>
    <w:p>
      <w:r>
        <w:rPr>
          <w:b/>
        </w:rPr>
        <w:t>E. 7</w:t>
      </w:r>
    </w:p>
    <w:p>
      <w:r>
        <w:t>En définitive, les infractions d’escroquerie, d’atteinte astucieuse aux intérêts pécuniaires d’autrui, de gestion déloyale, de tentative de contrainte et de fausse déclaration d’une partie en justice ne sont manifestement pas réalisées. C’est donc à bon droit et sans arbitraire (art. 9 Cst.) que le Ministère public a refusé d’entrer en matière, conformément à l’art. 310 CPP. Il n’y a, pour le surplus, pas à examiner l’opportunité de cette décision, les faits étant clairs et leur appréciation juridique ne donnant pas matière à pareil examen.</w:t>
      </w:r>
    </w:p>
    <w:p>
      <w:r>
        <w:rPr>
          <w:b/>
        </w:rPr>
        <w:t>E. 8</w:t>
      </w:r>
    </w:p>
    <w:p>
      <w:r>
        <w:t>Au vu de ce qui précède, le recours, manifestement mal fondé, doit être rejeté, sans autre échange d’écritures (art. 390 al. 2 CPP), dans la mesure où il est recevable (cf. supra consid. 1.3), et l’ordonnance du 14 août 2017 confirmée. Les frais de la procédure de recours, constitués en l’espèce du seul émolument d’arrêt, par 2’200 fr., (art. 20 al. 1 TFIP [tarif des frais de procédure et indemnités en matière pénale du 29 septembre 2010; RSV 312.03.1), seront mis à la charge des recourants, à part égale et solidairement entre eux, qui succombent (art. 428 al. 1 CPP). Vu le sort de la cause, les recourants n’ont pas droit à une indemnité au sens de l’art. 436 CPP. Par ces motifs, la Chambre des recours pénale prononce : I. Le recours est rejeté dans la mesure où il est recevable. II. L’ordonnance du 14 août 2017 est confirmée. III. Les frais d’arrêt, par 2’200 fr. (deux mille deux cents francs), sont mis à la charge des recourants, à part égale et solidairement entre eux. IV. L’arrêt est exécutoire. Le président :               Le greffier : Du Le présent arrêt, dont la rédaction a été approuvée à huis clos, est notifié, par l'envoi d'une copie complète, à : - Me Tony Donnet-Monay, avocat (pour A.C.________),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