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687 vom 6. September 2017</w:t>
      </w:r>
    </w:p>
    <w:p>
      <w:r>
        <w:t>VD Tribunal cantonal, 2017-09-06, FR</w:t>
      </w:r>
    </w:p>
    <w:p>
      <w:r>
        <w:rPr>
          <w:b/>
        </w:rPr>
        <w:t xml:space="preserve">Quelle: </w:t>
      </w:r>
      <w:r>
        <w:t>https://mcp.opencaselaw.ch/entscheid/vd_findinfo_D_cision___2017___687</w:t>
      </w:r>
    </w:p>
    <w:p>
      <w:r>
        <w:t>FR: VD_FINDINFO Décision / 2017 / 687 du 6 septembre 2017</w:t>
      </w:r>
    </w:p>
    <w:p>
      <w:r>
        <w:t>IT: VD_FINDINFO Décision / 2017 / 687 del 6 settembre 2017</w:t>
      </w:r>
    </w:p>
    <w:p>
      <w:pPr>
        <w:pStyle w:val="Heading2"/>
      </w:pPr>
      <w:r>
        <w:t>Regeste</w:t>
      </w:r>
    </w:p>
    <w:p>
      <w:r>
        <w:t>DÉCISION D'IRRECEVABILITÉ, FAUX INTELLECTUEL DANS LES TITRES, FAUSSE DÉCLARATION D'UNE PARTIE EN JUSTICE | 251 ch. 1 CP, 306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En l’espèce, interjeté dans le délai légal auprès de l’autorité compétente par la partie plaignante, qui a la qualité pour recourir (cf. art. 382 al. 1 CPP), le recours de X.________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soutient que le véhicule qui fait l’objet du litige civil l’opposant au prévenu aurait été livré à Genève comme le prévoyait leur contrat de vente et non à Nyon comme Z.________ l’aurait affirmé devant la Présidente du Tribunal civil de l’arrondissement de La Côte. Cette déclaration mensongère constituerait un faux intellectuel dans la mesure où elle a été retranscrite au procès-verbal de l’audience.</w:t>
      </w:r>
    </w:p>
    <w:p>
      <w:r>
        <w:rPr>
          <w:b/>
        </w:rPr>
        <w:t>E. 3.2.1</w:t>
      </w:r>
    </w:p>
    <w:p>
      <w:r>
        <w:t>Se rend coupable de faux dans les titres au sens de l’art. 251 ch. 1 CP (Code pénal suisse du 21 décembre 1937 ; RS 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juridique (art. 110 ch.</w:t>
      </w:r>
    </w:p>
    <w:p>
      <w:r>
        <w:rPr>
          <w:b/>
        </w:rPr>
        <w:t>E. 3.2.2</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fausse déclaration n’est punissable que si la partie a été expressément invitée par le juge à dire la vérité et rendue attentive aux poursuites pénales en cas de fausse déclaration. Selon la doctrine majoritaire, il s’agit d’une condition objective de punissabilité et non d’un élément constitutif de l’infraction (Dupuis et al. [éd.], Petit commentaire, Code pénal, 2 e éd., Bâle 2017, nn. 20 et 21 ad art. 306 CP).</w:t>
      </w:r>
    </w:p>
    <w:p>
      <w:r>
        <w:rPr>
          <w:b/>
        </w:rPr>
        <w:t>E. 3.3</w:t>
      </w:r>
    </w:p>
    <w:p>
      <w:r>
        <w:t>En l’espèce, selon un document produit par le recourant à l’appui de sa plainte, le véhicule litigieux devait être livré à Genève (P. 4/3). Lors de l’audience de conciliation du 26 avril 2017, le conseil du prévenu a soutenu que la compétence ratione loci du Tribunal d’arrondissement de La Côte était donnée en application de l’art. 31 CPC (Code de procédure civile du 19 décembre 2008 ; RS 272), au motif que la prestation caractéristique du contrat, soit la livraison du véhicule, aurait été faite à Nyon. Il ne s’agit là que d’une déclaration de partie. La simple retranscription de celle-ci dans un procès-verbal d’audience ne constitue pas une falsification de titre au sens de l’art. 251 CP et ce, indépendamment de la véracité de son contenu (cf. ATF 106 IV 372 consid. 1 p. 373, JdT 1982 IV 114 ; Stratenwerth/Bommer, Schweizerisches Strafrecht, Bes. Teil II, 7 e éd., Berne 2013, § 36 n. 33). Pareille allégation peut être contredite par l’apport d’une preuve et l’appréciation qu’en a faite le juge peut être contestée par les voies de droit qu’offre la procédure civile, soit l’appel (art. 308 ss CPC) ou le recours (art. 319 ss CPC). Enfin, dans la mesure où l’intéressé n’a pas été expressément invité par le juge à dire la vérité, l’infraction de fausse déclaration en justice n’entre pas en considération. En définitive, force est de constater que le litige qui oppose les parties est de nature exclusivement civile et que c’est à juste titre que la procureure a décidé de ne pas entrer en matière sur la plainte de X.________.</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 RSV 312.03.1]), seront mis à la charge du recourant, qui succombe (art. 428 al. 1 CPP). Le montant de 550 fr. déjà versé par X.________ à titre de sûretés sera déduit des frais mis à sa charge (art. 7 TFIP). Par ces motifs, la Chambre des recours pénale prononce : I. Le recours est rejeté. II. L’ordonnance du 16 mai 2017 est confirmée. III. Les frais d'arrêt, par 550 fr. (cinq cent cinquante francs), sont mis à la charge du recourant.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