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685 vom 21. August 2017</w:t>
      </w:r>
    </w:p>
    <w:p>
      <w:r>
        <w:t>VD Tribunal cantonal, 2017-08-21, FR</w:t>
      </w:r>
    </w:p>
    <w:p>
      <w:r>
        <w:rPr>
          <w:b/>
        </w:rPr>
        <w:t xml:space="preserve">Quelle: </w:t>
      </w:r>
      <w:r>
        <w:t>https://mcp.opencaselaw.ch/entscheid/vd_findinfo_D_cision___2017___685</w:t>
      </w:r>
    </w:p>
    <w:p>
      <w:r>
        <w:t>FR: VD_FINDINFO Décision / 2017 / 685 du 21 août 2017</w:t>
      </w:r>
    </w:p>
    <w:p>
      <w:r>
        <w:t>IT: VD_FINDINFO Décision / 2017 / 685 del 21 agosto 2017</w:t>
      </w:r>
    </w:p>
    <w:p>
      <w:pPr>
        <w:pStyle w:val="Heading2"/>
      </w:pPr>
      <w:r>
        <w:t>Regeste</w:t>
      </w:r>
    </w:p>
    <w:p>
      <w:r>
        <w:t>CONFLIT D'INTÉRÊTS, DOUBLE REPRÉSENTATION, RÉPRIMANDE, GENÈVE{CANTON} | 12 let. c LLCA</w:t>
      </w:r>
    </w:p>
    <w:p>
      <w:pPr>
        <w:pStyle w:val="Heading2"/>
      </w:pPr>
      <w:r>
        <w:t>Erwägungen</w:t>
      </w:r>
    </w:p>
    <w:p>
      <w:r>
        <w:rPr>
          <w:b/>
        </w:rPr>
        <w:t>E. 1</w:t>
      </w:r>
    </w:p>
    <w:p>
      <w:r>
        <w:t>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2009, n. 10 ad art. 14 LLCA).</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présente enquête disciplinaire a été ouverte ensuite d’une dénonciation visant un avocat inscrit au registre genevois, mais pratiquant la représentation en justice dans le canton de Vaud, comme en atteste le dépôt par l’intéressé d’une requête de conciliation auprès de la Chambre patrimoniale cantonale. Le fait qu’une instruction à raison des mêmes faits ait déjà été conduite dans le canton de Genève n’est pas déterminant, les faits incriminés, notamment le dépôt d’une requête de conciliation dans le canton de Vaud, fondant la compétence de la Chambre de céans. Par surabondance, l’autorité genevoise s’est limitée à faire injonction à l’avocat visé de cesser d’occuper, sans se prononcer sur la question d’une éventuelle mesure disciplinaire. La Chambre des avocats est dès lors compétente.</w:t>
      </w:r>
    </w:p>
    <w:p>
      <w:r>
        <w:rPr>
          <w:b/>
        </w:rPr>
        <w:t>E. 2.1</w:t>
      </w:r>
    </w:p>
    <w:p>
      <w:r>
        <w:t>Me L.________ nie l’existence d’un conflit d’intérêt vis-à-vis de Q.________ SA et B.F.________ et C.F.________, puisque dans l’opération de financement de cette société, Q.________ SA aurait de toute façon dû remettre l’ensemble de sa documentation juridique et financière à la société W.________. Par ailleurs, du temps où l’étude [...] assumait un mandat pour le compte de Q.________ SA, c’est un autre associé, Me [...], qui aurait été en charge du dossier. En tout état de cause, Me L.________ aurait recueilli l’accord des deux parties avant d’accepter de représenter la société W.________. Il aurait déposé des requêtes de conciliation le 15 octobre 2016 afin d’interrompre la prescription. A ce moment, la question du conflit d’intérêt n’aurait encore jamais été évoquée par les parties. Ce n’est qu’à l’occasion des requêtes déposées le 15 décembre 2016 par Me T.________ que cette question serait devenue d’actualité. Par la suite, l’activité de Me L.________ se serait limitée à participer à deux audiences de conciliation, étant précisé que la participation à l’audience de conciliation devant la Chambre patrimoniale cantonale avait expressément été autorisée par la Chambre des avocats. Me T.________, représentant de Q.________ SA et de B.F.________ et C.F.________, expose pour sa part que l’accord donné par C.F.________ au début des pourparlers entre Q.________ SA et W.________ aurait valu dans le cadre de la due diligence envisagée, mais certainement pas pour actionner Q.________ SA ainsi que C.F.________ lui-même et son père. Quoi qu’il en soit, il ne serait pas possible de se retrancher derrière le consentement des parties pour nier l’existence d’un conflit d’intérêt, qui serait en l’occurrence concret.</w:t>
      </w:r>
    </w:p>
    <w:p>
      <w:r>
        <w:rPr>
          <w:b/>
        </w:rPr>
        <w:t>E. 2.2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(ATF 138 II 162 consid. 2.5.2 ; TF 2C_889/2008 du 21 juillet 2009 consid. 3.1.3 ; Bohnet/Martenet, Droit de la profession d’avocat, 2009, n. 1395).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(Grodecki/Jeandin, Approche critique de l'interdiction de postuler chez l'avocat aux prises avec un conflit d'intérêts, SJ 2015 II 107,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L'avocat a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 Chappuis, op. cit., p. 71). Un risque théorique et abstrait de conflit d'intérêts ne suffit pas : le risque doit être concret (ATF 135 II 145 consid. 9.1 ; ATF 134 II 108 consid. 4.2). L'acceptation d'un mandat contre un ancien client pose une double problématique: le devoir de fidélité et le secret professionnel. Avant d'accepter un mandat contre un ancien client, l'avocat devra ainsi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identiques, et plus le client pourra considérer que la constitution de son ancien avocat à son encontre revêt un caractère choquant et qu'il en résulte une situation de conflit d'intérêts. Une prudence particulière s'impose dès lors à l'avocat: il en va de sa crédibilité, de sa fonction et de son rôle vis-à-vis des clients, du public et du pouvoir judiciaire (Valticos, Commentaire romand LLCA, op.cit., nn. 174-176 ad art. 12 LLCA). Le consentement des clients à une pluralité de représentation n’est pas déterminant, puisque l’interdiction des conflits d’intérêts est de nature absolue (TF 1P.227/2005 du 13 mai 2005 consid. 3.1 ; TF 2A.560/2004 du 1 er février 2005 consid. 5.2). La double représentation peut également intervenir lorsque les parties sont représentées par des avocats distincts, mais exerçant au sein de la même étude, l’interdiction des conflits d’intérêts s’étendant à l’ensemble de l’étude ou du groupement auquel appartient l’avocat (TF 5A_967/2014 du 27 mars 2015 consid. 3.3.2).</w:t>
      </w:r>
    </w:p>
    <w:p>
      <w:r>
        <w:rPr>
          <w:b/>
        </w:rPr>
        <w:t>E. 2.3</w:t>
      </w:r>
    </w:p>
    <w:p>
      <w:r>
        <w:t>En l’espèce, il n’est pas contesté que l’étude [...], à laquelle Me L.________ est associé, a représenté la société Q.________ SA jusqu’en février 2016 dans le cadre d’un important mandat, facturant des honoraires à hauteur de 130'000 fr., et qu’elle a agi pour le compte de la société W.________ dès l’automne 2015 dans le cadre d’un projet de financement du groupe précité, par l’intermédiaire de Me L.________. Dans la cadre du premier mandat, c’est principalement Me [...] qui s’est chargé du dossier, mais Me L.________ est également intervenu de façon ponctuelle. Au demeurant, la question de savoir qui au sein de l’étude [...] s’est chargé de quel dossier n’est pas déterminante, l’interdiction des conflits d’intérêts valant pour l’ensemble de l’étude. Me L.________ s’est donc trouvé dans une position de double représentation, et cela même de façon simultanée entre l’automne 2015 et le mois de février 2016. Les deux mandats, qui avaient tous deux trait à des opérations de financement des sociétés du groupe Q.________ SA, s’inscrivaient dans un complexe de faits similaires. On peut se demander quel est la portée du consentement des parties à cette double représentation, tel qu’exposé par Me L.________. A cet égard, il est douteux que B.F.________ et C.F.________ aient consenti à ce que Me L.________ représente W.________ afin de déposer une action les visant personnellement ainsi que le groupe dont ils sont les actionnaires principaux. De toute manière, comme on l’a vu, le consentement des parties ne fait pas disparaître le conflit d’intérêts, compte tenu de la nature absolue de cette interdiction. Contrairement à ce qu’avance Me L.________, la question du conflit d’intérêt n’est pas seulement apparue au moment des requêtes en interdiction de postuler déposées par Me T.________ le 15 décembre 2016. Cette question a été soulevée par Me L.________ lui-même en novembre 2015, au début de son mandat pour le compte de W.________. Si, comme il l’avance, Me L.________ avait continué d’occuper en octobre 2016 afin d’interrompre la prescription qui menaçait les intérêts de sa cliente, il aurait dû se dessaisir du mandat immédiatement après avoir cité les parties adverses en conciliation, ce qu’il n’a pas fait. Par la suite, le 6 décembre 2016, Me T.________ lui a demandé de se dessaisir du mandat, ce qu’il a refusé le 13 décembre 2016. Me L.________ n’a donc pas mis fin au mandat le liant à W.________ à la première date utile. Au contraire, il a attendu que la Commission du barreau confirme le 10 avril 2017 la décision du Bureau de la Commission du barreau du 9 février 2017 pour confier le dossier à un confrère. Quant à la décision sur mesures provisionnelles de la Chambre de céans du 19 décembre 2016 autorisant Me L.________ à participer à une audience de conciliation devant la Chambre patrimoniale cantonale, celle-ci ne se prononçait pas sur la capacité de postuler de l’avocat, mais relevait uniquement qu’en l’état, l’intérêt prépondérant des parties commandait d’autoriser Me L.________ à participer à une audience de conciliation. Il s’ensuit que Me L.________, en pratiquant la double représentation, s’est placé dans un conflit d’intérêts l’empêchant de défendre ses mandants en toute indépendance. Ce faisant, il a violé l’art. 12 let. c LLCA. En l’état, il n’est pas nécessaire d’interdire à Me L.________ de postuler dans la cause opposant W.________ à Q.________ SA et B.F.________ et C.F.________, Me L.________ ayant lui-même annoncé le 16 mai 2017 qu’il s’était dessaisi du mandat et que Me [...] lui avait succédé. La requête d’interdiction de postuler de Me L.________ n’a dès lors plus d’objet.</w:t>
      </w:r>
    </w:p>
    <w:p>
      <w:r>
        <w:rPr>
          <w:b/>
        </w:rPr>
        <w:t>E. 3.1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L'autorité de surveillance dispose d'une certaine marge d'appréciation (Bauer/Bauer, Commentaire romand LLCA, op. cit., nn. 17-18 ad 17 LLCA). L’autorité de surveillance doit tenir compte du comportement passé de l’avocat en cause (TF 2A.560/2004 du 1 er février 2005 consid. 6) et peut prendre en compte le comportement de celui-ci durant la procédure. Constitue ainsi une circonstance aggravante le fait, pour l’intéressé, de confirmer sa position dans ses observations à l’autorité de surveillance et de ne pas tenir compte du caractère incorrect de son comportement (Bohnet/Martenet, op. cit., note ad n. 2187).</w:t>
      </w:r>
    </w:p>
    <w:p>
      <w:r>
        <w:rPr>
          <w:b/>
        </w:rPr>
        <w:t>E. 3.2</w:t>
      </w:r>
    </w:p>
    <w:p>
      <w:r>
        <w:t>En l’espèce, Me L.________ n’a pas d’antécédents disciplinaires dans le canton de Vaud. Il a certes fini par se dessaisir du mandat au cours de l’enquête disciplinaire, mais ce dessaisissement n’est intervenu que très tardivement, alors que Me L.________ avait eu à de nombreuses reprises la possibilité de mettre fin au mandat : en automne 2015, au moment d’être mandaté par la société W.________ dans le cadre d’une opération de financement d’un ancien client ; au moment de constater que les pourparlers entre les parties n’avaient pas abouti ; en octobre 2016, après avoir cité Q.________ SA, B.F.________ et C.F.________ en conciliation afin, selon ses propres dires, d’interrompre la prescription ; enfin en décembre 2016, lorsqu’il a été interpellé par Me T.________, puis lorsque ce dernier a déposé une requête d’interdiction de postuler à son encontre. Me L.________ a attendu que l’autorité de surveillance genevoise confirme en avril 2017 l’interdiction de postuler prononcée à son encontre pour se dessaisir du mandat. Jusqu’à la fin de l’enquête disciplinaire, il a nié l’existence d’un conflit d’intérêts. Il faut donc relever que Me L.________ n’a pas pris conscience du caractère inadéquat de son comportement. Compte tenu de tous les éléments qui précèdent, la peine disciplinaire de l’avertissement (art. 17 al. 1 let. a LLCA) sanctionne adéquatement le comportement de Me L.________.</w:t>
      </w:r>
    </w:p>
    <w:p>
      <w:r>
        <w:rPr>
          <w:b/>
        </w:rPr>
        <w:t>E. 4</w:t>
      </w:r>
    </w:p>
    <w:p>
      <w:r>
        <w:t>Les frais de la décision, comprenant un émolument de 600 fr., mesures provisionnelles comprises (art. 59 al. 1 LPAv et art. 1 al. 2 RE-Chav [Règlement sur les émoluments perçus par la Chambre des avocats ou son président, par délégation ; RSV 177.11.4]), ainsi que les frais d’enquête à hauteur de 450 fr., sont arrêtés à 1'050 fr. et mis à la charge de Me L.________. La présente décision est communiquée à la Commission du barreau de la République et canton de Genève, conformément à l’art. 16 al. 3 LLCA, et est notifiée à Me T.________, en vertu de l’art. 60 al. 1 LPAv. Par ces motifs, la Chambre des avocats, statuant à huis clos : I. Dit que la requête d’interdiction de postuler déposée le 16 décembre 2016 par Me T.________ n’a plus d’objet. II. Constate que l’avocat L.________ a violé l'art. 12 let. c LLCA. III. Prononce contre l’avocat L.________ la peine disciplinaire de l’avertissement. IV. Dit que les frais de la cause, par 1'050 fr. (mille cinquante francs), sont mis à la charge de L.________. V. Dit que la décision est exécutoire. Le président ad hoc : Le greffier : Du La décision qui précède, lue et approuvée à huis clos, est notifiée à : ‑ Me L.________, ‑ Me T.________.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Commission du barreau de la République et canton de Genève.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