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663 vom 31. August 2017</w:t>
      </w:r>
    </w:p>
    <w:p>
      <w:r>
        <w:t>VD Tribunal cantonal, 2017-08-31, FR</w:t>
      </w:r>
    </w:p>
    <w:p>
      <w:r>
        <w:rPr>
          <w:b/>
        </w:rPr>
        <w:t xml:space="preserve">Quelle: </w:t>
      </w:r>
      <w:r>
        <w:t>https://mcp.opencaselaw.ch/entscheid/vd_findinfo_D_cision___2017___663</w:t>
      </w:r>
    </w:p>
    <w:p>
      <w:r>
        <w:t>FR: VD_FINDINFO Décision / 2017 / 663 du 31 août 2017</w:t>
      </w:r>
    </w:p>
    <w:p>
      <w:r>
        <w:t>IT: VD_FINDINFO Décision / 2017 / 663 del 31 agosto 2017</w:t>
      </w:r>
    </w:p>
    <w:p>
      <w:pPr>
        <w:pStyle w:val="Heading2"/>
      </w:pPr>
      <w:r>
        <w:t>Regeste</w:t>
      </w:r>
    </w:p>
    <w:p>
      <w:r>
        <w:t>RISQUE DE COLLUSION, RISQUE DE RÉCIDIVE, DROIT D'ÊTRE ENTENDU, MESURE DE SUBSTITUTION À LA DÉTENTION | 221 CPP (CH)</w:t>
      </w:r>
    </w:p>
    <w:p>
      <w:pPr>
        <w:pStyle w:val="Heading2"/>
      </w:pPr>
      <w:r>
        <w:t>Erwägungen</w:t>
      </w:r>
    </w:p>
    <w:p>
      <w:r>
        <w:rPr>
          <w:b/>
        </w:rPr>
        <w:t>E. 1</w:t>
      </w:r>
    </w:p>
    <w:p>
      <w:r>
        <w:t>Interjeté dans le délai légal (art. 396 al. 1 CPP [Code de procédure pénale suisse du 5 octobre 2007; RS 312.0]) contre des ordonnances du Tribunal des mesures de contrainte dans des cas prévus par le CPP (art. 393 al. 1 let. c CPP), par un détenu qui a qualité pour recourir (art. 222 et 382 al. 1 CPP) et dans les formes prescrites (art. 385 al. 1 CPP), le recours est recevable.</w:t>
      </w:r>
    </w:p>
    <w:p>
      <w:r>
        <w:rPr>
          <w:b/>
        </w:rPr>
        <w:t>E. 2</w:t>
      </w:r>
    </w:p>
    <w:p>
      <w:r>
        <w:t>Dans un grief d’ordre formel, le recourant reproche au Ministère public d’avoir invoqué, mais sans le produire, le résultat de l’analyse du contrôle téléphonique rétroactif à l’appui de sa demande de prolongation de la détention provisoire, ce qui constituerait une violation de son droit d’être entendu.</w:t>
      </w:r>
    </w:p>
    <w:p>
      <w:r>
        <w:rPr>
          <w:b/>
        </w:rPr>
        <w:t>E. 2.1</w:t>
      </w:r>
    </w:p>
    <w:p>
      <w:r>
        <w:t>Selon l'art. 224 al. 2 deuxième phrase CPP, le Ministère public transmet la demande de mise en détention provisoire par écrit au Tribunal des mesures de contrainte, en la motivant brièvement et en y joignant les pièces essentielles du dossier. Cette exigence concrétise le droit d'être entendu tel qu'il est garanti à l'art. 29 al. 2 Cst. (Constitution fédérale de la Confédération suisse du 18 avril 1999, RS 101) et, en matière de détention, à l'art. 31 al. 2 Cst. La production des pièces pertinentes pour le traitement de la demande de mise en détention permet ainsi au prévenu d'exercer ses droits de défense, et à l'autorité de décider en toute connaissance de cause (TF 1B_164/2011 du 20 avril 2011 consid. 2.1).</w:t>
      </w:r>
    </w:p>
    <w:p>
      <w:r>
        <w:rPr>
          <w:b/>
        </w:rPr>
        <w:t>E. 2.2</w:t>
      </w:r>
    </w:p>
    <w:p>
      <w:r>
        <w:t>En l’espèce, il est vrai que lorsque le recourant a consulté le dossier le 10 août 2017, le résultat de l’analyse du contrôle téléphonique rétroactif ne figurait pas au dossier en mains du Ministère public. Cela s’explique toutefois par le fait que cette analyse était toujours en cours auprès de la police, comme la procureure l’a indiqué au recourant. Ainsi, la direction de la procédure n’a pas omis de transmettre une pièce essentielle au Tribunal des mesures de contrainte et aucun élément n’a ainsi été caché au recourant. Mal fondé, le grief relatif à la violation du droit d’être entendu doit être rejeté.</w:t>
      </w:r>
    </w:p>
    <w:p>
      <w:r>
        <w:rPr>
          <w:b/>
        </w:rPr>
        <w:t>E. 3</w:t>
      </w:r>
    </w:p>
    <w:p>
      <w:r>
        <w:t>.</w:t>
      </w:r>
    </w:p>
    <w:p>
      <w:r>
        <w:rPr>
          <w:b/>
        </w:rPr>
        <w:t>E. 3.1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3.2</w:t>
      </w:r>
    </w:p>
    <w:p>
      <w:r>
        <w:t>En l’espèce, contrairement à ce que soutient le recourant, il existe contre lui des soupçons sérieux de culpabilité. En effet, l’ampleur du matériel saisi lors de la perquisition du 19 juin 2017 à [...] (cf. rapport d’investigation du 20 juin 2017, pp. 6-7) suggère fortement que le recourant s’est livré à un trafic de cannabis à relativement large échelle et que la culture de cette plante n’était pas uniquement destinée à sa consommation personnelle. De plus, l’intéressé a été en mesure d’acheter, le 29 mai 2017, un véhicule de livraison Mercedes-Benz pour le prix de 24'000 fr., qu’il aurait payé en liquide (PV aud. de [...] du 19 juillet 2017), alors qu’il ne travaillait plus pour le compte de [...]. Il ressort par ailleurs du dossier que le recourant ne travaillait pas quotidiennement pour son frère, contrairement à ce que K.________ a laissé entendre, qu’il s’absentait tous les jours de son domicile et qu’il ne déclarait aucun revenu au fisc, que ce soit dans le canton de Vaud ou dans le canton de Genève. Selon le rapport d’investigation du 7 juin 2017, le recourant et sa compagne possédaient des chevaux et un van pour le transport de ces animaux ainsi que plusieurs autres véhicules ; d’après les indications fournies par l’informateur à la police, ils payaient pour la ferme un loyer de l’ordre de 4'000 fr. par mois. Dans ces circonstances, il existe de fortes présomptions que le train de vie mené par le recourant et sa compagne ait été assuré sinon exclusivement, du moins pour une large part, par la vente de produits stupéfiants. S’agissant de l’infraction à la législation routière, le recourant a reconnu consommer quelque 20 joints de cannabis par jour et continuer à circuler plusieurs fois par semaine au volant d’un véhicule automobile. Pour le surplus, on rappelle que les autorités appelées à se prononcer sur la légalité d'une décision de maintien en détention provisoire ne doivent pas procéder à une pesée complète des éléments à charge et à décharge, ni apprécier la crédibilité des personnes qui mettent en cause le prévenu, mais doivent uniquement examiner s'il existe des indices sérieux de culpabilité justifiant une telle mesure (ATF 137 IV 122 consid. 3.2; ATF 124 I 208 consid. 3; ATF 116 Ia 413 consid. 3c; TF 1B_423/2010 du 17 janvier 2011 consid. 4.1; TF 1B_410/2010 du 23 décembre 2010 consid. 4.1; Forster, in : Niggli/Heer/Wiprächtiger [éd.], Basler Kommentar, Schweizerische Straf-prozessordnung, 2 e éd., Bâle 2014, n. 3 ad art. 221 CPP).</w:t>
      </w:r>
    </w:p>
    <w:p>
      <w:r>
        <w:rPr>
          <w:b/>
        </w:rPr>
        <w:t>E. 4</w:t>
      </w:r>
    </w:p>
    <w:p>
      <w:r>
        <w:t>Le recourant soutient que le risque de collusion ne saurait justifier la prolongation de sa détention provisoire.</w:t>
      </w:r>
    </w:p>
    <w:p>
      <w:r>
        <w:rPr>
          <w:b/>
        </w:rPr>
        <w:t>E. 4.1</w:t>
      </w:r>
    </w:p>
    <w:p>
      <w:r>
        <w:t>Le maintien en détention provisoire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Commentaire romand, Code de procédure pénale suisse, Bâle 2011, nn. 14 et 15 ad art. 221 CPP ;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1B_79/2012 du 22 février 2012 consid. 5.1 ; TF 1B_55/2010 du 11 mars 2010 consid. 3.1 et les références citées).</w:t>
      </w:r>
    </w:p>
    <w:p>
      <w:r>
        <w:rPr>
          <w:b/>
        </w:rPr>
        <w:t>E. 4.2</w:t>
      </w:r>
    </w:p>
    <w:p>
      <w:r>
        <w:t>En l’espèce, K.________ a indiqué que le recourant s’absentait quotidiennement de son domicile. Cela suggère que ces absences répétées étaient motivées par la recherche de clients potentiels, ce que les premiers éléments de l’analyse du contrôle téléphonique rétroactif tendent à confirmer. Cette analyse doit ainsi se poursuivre afin d’identifier les titulaires des numéros que le recourant appelait régulièrement. Après quoi, il y aura lieu d’entendre le recourant et de le confronter aux résultats du contrôle téléphonique et aux déclarations de ceux qui pourraient le mettre en cause pour trafic de stupéfiants. Tant que ces opérations sont en cours, le risque de collusion subsiste de manière concrète. Il est en effet à craindre que le recourant ne tente de prendre contact avec ceux qui pourraient le mettre en cause, afin d’influencer leurs déclarations en sa faveur. Bien présent, le risque de collusion justifie le maintien du recourant en détention provisoire.</w:t>
      </w:r>
    </w:p>
    <w:p>
      <w:r>
        <w:rPr>
          <w:b/>
        </w:rPr>
        <w:t>E. 5</w:t>
      </w:r>
    </w:p>
    <w:p>
      <w:r>
        <w:t>Le recourant conteste le risque de réitération retenu par le Tribunal des mesures de contrainte.</w:t>
      </w:r>
    </w:p>
    <w:p>
      <w:r>
        <w:rPr>
          <w:b/>
        </w:rPr>
        <w:t>E. 5.1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de son potentiel de violence et des circonstances de la commission de l’acte.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 TF 1B_6/2017 et TF 1B_26/2017 du 8 février 2017 consid. 3.1.1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 ATF 143 IV 9 consid. 2.3.1).</w:t>
      </w:r>
    </w:p>
    <w:p>
      <w:r>
        <w:rPr>
          <w:b/>
        </w:rPr>
        <w:t>E. 5.2</w:t>
      </w:r>
    </w:p>
    <w:p>
      <w:r>
        <w:t>En, l’espèce, il ressort de l’extrait de son casier judiciaire qu’entre 2008 et 2016, le recourant a été condamné à six reprises, notamment pour violation simple et grave des règles de la circulation routière, conduite sans permis ou malgré un retrait du permis de conduire et conduite en état d’incapacité, à des peines allant de 15 jours-amende avec sursis à des peines privatives de liberté de 6 mois avec sursis durant cinq ans, s’agissant des deux dernières condamnations prononcées en 2013 et 2016. On relève qu’il a été détenu provisoirement durant cinq jours dans le cadre de l’affaire qui a été jugée en 2013 par le Tribunal de police de Genève. Par ailleurs, dans son jugement du 5 février 2016, le Tribunal de police de l’arrondissement de La Côte a ordonné, comme règle de conduite, la poursuite du traitement psychothérapeutique entrepris (cf. P. 26). Au vu de ce qui précède, force est de constater que ni ce traitement ni ses précédentes condamnations et un séjour en détention provisoire n’ont eu d’effet dissuasif, puisque l’intéressé est mis en cause pour continuer à s’adonner à la consommation de cannabis et à conduire un véhicule sous l’influence de ce produit stupéfiant. Il s’agit là de faits qui peuvent être qualifiés de graves, en ce sens qu’ils sont susceptibles de mettre en danger la sécurité d’autrui. S’agissant de l’infraction à la Loi sur les stupéfiants, le recourant fait valoir que les plants de cannabis et la matériel destiné à sa culture ont été détruits, avec son accord, et que le bail à loyer de la ferme d’ [...] a été résilié. S’il est vrai que ces circonstances rendent plus difficile l’installation nécessaire à une nouvelle plantation de cannabis, celle-ci demeure cependant possible et il est à craindre que le recourant ne cherche, à terme, à recommencer à cultiver du cannabis. Il convient en effet de tenir compte de la durée et de l’intensité de l’activité délictueuse imputée au recourant, laquelle semble au surplus lui avoir procuré une large part de ses revenus. Le risque de réitération est donc manifeste.</w:t>
      </w:r>
    </w:p>
    <w:p>
      <w:r>
        <w:rPr>
          <w:b/>
        </w:rPr>
        <w:t>E. 6.1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w:t>
      </w:r>
    </w:p>
    <w:p>
      <w:r>
        <w:rPr>
          <w:b/>
        </w:rPr>
        <w:t>E. 6.2</w:t>
      </w:r>
    </w:p>
    <w:p>
      <w:r>
        <w:t>En l’espèce, le recourant est détenu provisoirement depuis le 19 juin 2017. Compte tenu de la gravité et de l'ampleur des faits qui lui sont reprochés ainsi que de ses antécédents, le recourant est exposé à une peine privative de liberté d'une durée sensiblement supérieure à celle de la détention provisoire qu’il aura subie au terme de la prolongation fixée par le Tribunal des mesures de contrainte.</w:t>
      </w:r>
    </w:p>
    <w:p>
      <w:r>
        <w:rPr>
          <w:b/>
        </w:rPr>
        <w:t>E. 6.3</w:t>
      </w:r>
    </w:p>
    <w:p>
      <w:r>
        <w:t>Par ailleurs, c’est en vain que le recourant soutient que sa détention serait également disproportionnée en raison d’un retard injustifié dans le cours de la procédure pénale. En effet, l’activité délictueuse reprochée au recourant présente une certaine ampleur qui, s’agissant de la culture de cannabis à des fins de vente, se serait étendue sur près de trois ans. La nature de l’enquête nécessite ainsi un certain nombre de mesures d’instruction, en particulier l’analyse des conversations téléphoniques du recourant. Or, cela exige du temps. Le fait que les auditions envisagées, notamment la seconde audition du recourant par le Ministère public, n’aient pas encore pu avoir lieu ne dénote pas un manquement particulièrement grave, qui ferait apparaître que l'autorité de poursuite n'est plus en mesure de conduire la procédure à chef dans un délai raisonnable (ATF 137 IV 118 consid. 2.1).</w:t>
      </w:r>
    </w:p>
    <w:p>
      <w:r>
        <w:rPr>
          <w:b/>
        </w:rPr>
        <w:t>E. 7</w:t>
      </w:r>
    </w:p>
    <w:p>
      <w:r>
        <w:t>Le recourant propose, à titre de mesures de substitution à la détention provisoire (art. 237 al. 2 CPP), qu’interdiction lui soit faite de se rendre dans certains lieux ou d’entrer en contact avec certaines personnes. On ignore toutefois à quels lieux ou personnes il est fait allusion. Telle que formulée, cette mesure de substitution apparaît trop vague quant à son objet, de sorte que l’on ne saurait se convaincre de son aptitude à prévenir efficacement le risque de réitération. Cela est d’autant plus vrai que les actes pour lesquels le recourant est mis en cause ont été commis malgré de nombreux antécédents et alors qu’il était menacé de la révocation du sursis assortissant la peine qui lui avait été infligée le 5 février 2016. La mise en place d’un traitement contre les dépendances ne paraît pas davantage apte à pallier le risque de réitération. En effet, malgré les rapports favorables adressés les 21 novembre 2016 et 1 er juillet 2017 par le psychologue [...] à l’Office d’exécution des peines (P. 26/4 et 26/5), le recourant est soupçonné d’avoir commis les actes qui font l’objet de la présente procédure alors même qu’il suivait un traitement psychothérapeutique contre les dépendances depuis le 1 er juillet 2015 (P. 26/4). Ainsi, bien que le recourant, en suivant ce traitement, se soit conformé à la règle de conduite imposée par le jugement du 5 février 2016, l’efficacité de cette mesure apparaît pour le moins douteuse sous l’angle du risque de réitération.</w:t>
      </w:r>
    </w:p>
    <w:p>
      <w:r>
        <w:rPr>
          <w:b/>
        </w:rPr>
        <w:t>E. 8</w:t>
      </w:r>
    </w:p>
    <w:p>
      <w:r>
        <w:t>En définitive, le recours doit être rejeté sans autre échange d’écritures (art. 390 al. 2 CPP) et les ordonnance des 16 août et 23 août 2017 confirmées. Les frais de la procédure de recours, constitués en l’espèce du seul émolument d'arrêt (art. 422 al. 1 CPP), par 1'210 fr. (art. 20 al. 1 et 2 TFIP [tarif des frais de procédure et indemnités en matière pénale du 28 septembre 2010; RSV 312.03.1]), seront mis à la charge du recourant, qui succombe (art. 428 al. 1 CPP). Par ces motifs, la Chambre des recours pénale prononce : I. Le recours est rejeté. II. Les ordonnances des 16 août et 23 août 2017 sont confirmées. III. Les frais d’arrêt, par 1'210 fr. (mille deux cent dix francs), sont mis à la charge d’H.________. IV. L’arrêt est exécutoire. Le président :               Le greffier : Du Le présent arrêt, dont la rédaction a été approuvée à huis clos, est notifié, par l'envoi d'une copie complète, à : - Me Pierre-Xavier Luciani, avocat (pour H.________), - Ministère public central, et communiqué à : - Mme la Présidente du Tribunal des mesures de contrainte,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