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658 vom 31. August 2017</w:t>
      </w:r>
    </w:p>
    <w:p>
      <w:r>
        <w:t>VD Tribunal cantonal, 2017-08-31, FR</w:t>
      </w:r>
    </w:p>
    <w:p>
      <w:r>
        <w:rPr>
          <w:b/>
        </w:rPr>
        <w:t xml:space="preserve">Quelle: </w:t>
      </w:r>
      <w:r>
        <w:t>https://mcp.opencaselaw.ch/entscheid/vd_findinfo_D_cision___2017___658</w:t>
      </w:r>
    </w:p>
    <w:p>
      <w:r>
        <w:t>FR: VD_FINDINFO Décision / 2017 / 658 du 31 août 2017</w:t>
      </w:r>
    </w:p>
    <w:p>
      <w:r>
        <w:t>IT: VD_FINDINFO Décision / 2017 / 658 del 31 agosto 2017</w:t>
      </w:r>
    </w:p>
    <w:p>
      <w:pPr>
        <w:pStyle w:val="Heading2"/>
      </w:pPr>
      <w:r>
        <w:t>Regeste</w:t>
      </w:r>
    </w:p>
    <w:p>
      <w:r>
        <w:t>EXÉCUTION ANTICIPÉE DES PEINES ET DES MESURES, RISQUE DE COLLUSION | 236 al. 1 CPP (CH)</w:t>
      </w:r>
    </w:p>
    <w:p>
      <w:pPr>
        <w:pStyle w:val="Heading2"/>
      </w:pPr>
      <w:r>
        <w:t>Erwägungen</w:t>
      </w:r>
    </w:p>
    <w:p>
      <w:r>
        <w:rPr>
          <w:b/>
        </w:rPr>
        <w:t>E. 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(Stephenson/Thiriet, in : Niggli/ Heer/Wiprächtiger [éd.], Basler Kommentar, Schweizerische Strafprozessordnung, Jugendstrafprozessordnung, 2e éd., Bâle 2014, n. 10 ad art. 393 CPP; Hug, in : Donatsch/Hansjakob/Lieber [éd.], Kommentar zur Schweizerischen Strafprozess- ordnung, 2e éd., Zurich/Bâle 2014, n. 17 ad art. 236 CPP; CREP 24 octobre 2016/654; CREP 17 novembre 2015/745; CREP 30 janvier 2013/34; CREP 12 juin 2012/294).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par le prévenu qui a qualité pour recourir (art. 382 al. 1 CPP), et qui satisfait aux conditions de forme posées par l’art. 385 al. 1 CPP.</w:t>
      </w:r>
    </w:p>
    <w:p>
      <w:r>
        <w:rPr>
          <w:b/>
        </w:rPr>
        <w:t>E. 2.1</w:t>
      </w:r>
    </w:p>
    <w:p>
      <w:r>
        <w:t>Contestant l'existence des risques de collusion et de réitération, le recourant soutient que les conditions d'une exécution anticipée de peine seraient réalisées.</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Dès l'entrée du prévenu dans l'établissement, l'exécution de la peine ou de la mesure commence et le prévenu est soumis au régime de l'exécution, sauf si le but de la détention provisoire ou de la détention pour des motifs de sûreté s'y oppose (art. 236 al. 4 CPP). L'exécution anticipée des peines et des mesures est, de par sa nature, une mesure de contrainte qui se classe à la limite entre la poursuite pénale et l'exécution de la peine. Ce moyen permet, avant même l'entrée en force du jugement pénal, de mettre en place un régime d'exécution tenant compte notamment de la situation particulière du détenu ainsi que, le cas échéant, de lui offrir de meilleures chances de resocialisation (ATF 133 I 270 consid. 3.2.1; ATF 126 I 172 consid. 3a; ATF 143 IV 160 consid. 2.1). La poursuite de la détention sous la forme de l'exécution anticipée de la peine présuppose tout d'abord l'existence d'un des motifs de détention provisoire prévus à l'art. 221 al. 1 let. a, b ou c CPP et sa durée doit respecter le principe de la proportionnalité (ATF 143 IV 160 consid. 2.1; TF 1B_443/2016 du 12 décembre 2016 consid. 2.1).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Pour retenir l'existence d'un risque de collusion au sens de la disposition précédente,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ATF 132 I 21 consid. 3.2 p. 23 s. et les références citées). Plus l'instruction se trouve à un stade avancé et les faits établis avec précision, plus les exigences relatives à la preuve de l'existence d'un risque de collusion sont élevées (ATF 137 IV 122 consid. 4.2; ATF 132 I 21 consid. 3.2.2; TF 1B_127/2017 du 20 avril 2017; TF 1B_449/2015 du 15 janvier 2016 consid. 2.3; TF 1B_742/2012 du 17 janvier 2013 consid. 2.2). L'art. 236 al. 1 in fine CPP suppose de plus que le "stade de la procédure"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n'a pas seulement pour but d'empêcher tout risque de collusion, mais répond également à des besoins pratiques, en raison de l'éventuel éloignement géographique entre les lieux d'exécution de peine et ceux où a lieu l'administration des preuves (TF 1B_127/2017 du 20 avril 2017 consid. 2.1; TF 1B_189/2014 du 28 juillet 2014 consid. 2.3 et les références citées). Un danger de collusion n'exclut cependant pas nécessairement la mise en place d'une exécution anticipée de peine. Cela étant, dans l'intérêt de l'instruction, ce motif de détention peut alors justifier de limiter certains allégements qu'offre ce régime (cf. art. 236 al. 4 CPP; ATF 133 I 270 consid. 3.2.1 p. 278). Celui-ci ne permet en effet pas de prévenir aussi efficacement d'éventuels actes de collusion que le régime qui prévaut en matière de détention provisoire proprement dite. L'exécution anticipée de la peine doit néanmoins être refusée lorsqu'un risque élevé de collusion demeure, de sorte que le but de la détention et les besoins de l'instruction seraient compromis si le régime de l'exécution anticipée devait être mis en œuvre (TF 1B_127/2017 du 20 avril 2017 consid. 2.1; TF 1B_449/2015 du 15 janvier 2016 consid. 2.3).</w:t>
      </w:r>
    </w:p>
    <w:p>
      <w:r>
        <w:rPr>
          <w:b/>
        </w:rPr>
        <w:t>E. 2.3</w:t>
      </w:r>
    </w:p>
    <w:p>
      <w:r>
        <w:t>En l’espèce, on relèvera d’abord que, quand bien même le recourant a collaboré à l’enquête, celle-ci en est plutôt à ses débuts. Ensuite, malgré les dénégations du recourant, les différents arguments avancés par le Ministère public, qui reposent pour l'essentiel sur des faits concrets et précis, sont pertinents et fondent l'existence d'un risque de collusion. En effet, le risque de compromettre l'avancement des opérations d'enquête est en l'état trop important pour permettre tout assouplissement des conditions de détention du recourant, dont on ignore encore à ce stade s’il a ou non fait d’autres victimes. L’enquête a permis d’établir que le prévenu détenait dans son ordinateur de nombreux fichiers, légaux et illégaux, et notamment des films de séances de bondage avec deux filles. Le Ministère public est actuellement en train de procéder à des recherches, afin d’identifier ces deux filles et de les entendre, dès lors que la question de leur consentement se pose. Il convient ainsi d'éviter que le prévenu ne puisse nuire à l'enquête, en contactant ces deux personnes. Si le recourant était mis au bénéfice du régime de l’exécution anticipée de peine, le risque qu’il communique avec d’éventuelles autres victimes tient non seulement à un accès à internet – quand bien même le recourant se prévaut d’informations niant cette possibilité données par le personnel pénitentiaire, étant relevé qu’il ne s’agit que d’allégations –, mais aussi et surtout par les contacts plus faciles et moins surveillés avec l’extérieur. Compte tenu de ce qui précède, la requête du recourant tendant à ce qu’il soit mis au bénéfice du régime de l’exécution anticipée de peine apparaît à tout le moins prématurée, compte tenu de l’existence d’un risque de collusion. Il n’y a par conséquent pas lieu d’examiner plus avant l’existence d’un risque de réitération par le biais de matériel informatique introduit illicitement en prison, ni la question de savoir s’il convient ou non d’attendre les conclusions des experts psychiatres avant d’envisager un assouplissement des conditions de détention du recourant.</w:t>
      </w:r>
    </w:p>
    <w:p>
      <w:r>
        <w:rPr>
          <w:b/>
        </w:rPr>
        <w:t>E. 3</w:t>
      </w:r>
    </w:p>
    <w:p>
      <w:r>
        <w:t>Il résulte de ce qui précède que le recours doit être rejeté et l’ordonnance du 15 août 2017 confirmée. Les frais de la procédure de recours, constitués en l’espèce de l’émolument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15 août 2017 est confirmée. III. Les frais de la procédure de recours, par 770 fr. (sept cent septante francs), sont mis à la charge de B.________. IV. L’arrêt est exécutoire. Le président :               La greffière : Du Le présent arrêt, dont la rédaction a été approuvée à huis clos, est notifié, par l'envoi d'une copie complète, à : - Me Baptiste Viredaz, avocat (pour B.________), - Me Coralie Devaud, avocate (pour M.________),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