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607 vom 16. August 2017</w:t>
      </w:r>
    </w:p>
    <w:p>
      <w:r>
        <w:t>VD Tribunal cantonal, 2017-08-16, FR</w:t>
      </w:r>
    </w:p>
    <w:p>
      <w:r>
        <w:rPr>
          <w:b/>
        </w:rPr>
        <w:t xml:space="preserve">Quelle: </w:t>
      </w:r>
      <w:r>
        <w:t>https://mcp.opencaselaw.ch/entscheid/vd_findinfo_D_cision___2017___607</w:t>
      </w:r>
    </w:p>
    <w:p>
      <w:r>
        <w:t>FR: VD_FINDINFO Décision / 2017 / 607 du 16 août 2017</w:t>
      </w:r>
    </w:p>
    <w:p>
      <w:r>
        <w:t>IT: VD_FINDINFO Décision / 2017 / 607 del 16 agosto 2017</w:t>
      </w:r>
    </w:p>
    <w:p>
      <w:pPr>
        <w:pStyle w:val="Heading2"/>
      </w:pPr>
      <w:r>
        <w:t>Regeste</w:t>
      </w:r>
    </w:p>
    <w:p>
      <w:r>
        <w:t>QUALITÉ POUR RECOURIR, INTÉRÊT JURIDIQUEMENT PROTÉGÉ, CLASSEMENT DE LA PROCÉDURE | 319 CPP (CH), 382 al. 1 CPP (CH), 395 let. a CPP (CH)</w:t>
      </w:r>
    </w:p>
    <w:p>
      <w:pPr>
        <w:pStyle w:val="Heading2"/>
      </w:pPr>
      <w:r>
        <w:t>Erwägungen</w:t>
      </w:r>
    </w:p>
    <w:p>
      <w:r>
        <w:rPr>
          <w:b/>
        </w:rPr>
        <w:t>E. 1</w:t>
      </w:r>
    </w:p>
    <w:p>
      <w:r>
        <w:t>Les parties peuvent attaquer une ordonnance de classement rendue par le ministère public et les autorités pénales compétentes en matière de contravention (art. 393 al. 1 let. a CPP [Code de procédure pénale suisse du</w:t>
      </w:r>
    </w:p>
    <w:p>
      <w:r>
        <w:rPr>
          <w:b/>
        </w:rPr>
        <w:t>E. 5</w:t>
      </w:r>
    </w:p>
    <w:p>
      <w:r>
        <w:t>octobre 2007 ; RS 312.0]) en application des art. 319 ss CPP dans les dix jours devant l’autorité de recours (art. 322 al. 2 et 396 al. 1 CPP ; cf. art. 20 al. 1 let. b CPP), qui, dans le canton de Vaud, est la Chambre des recours pénale du Tribunal cantonal (art. 13 LVCPP [loi vaudoise d’introduction du Code de procédure pénale suisse; RSV 312.01]; art. 80 LOJV [loi vaudoise d’organisation judiciaire ; RSV 173.01]). L'art. 395 CPP prévoit que si l'autorité de recours est un tribunal collégial ─ ce qui est le cas de la Chambre des recours pénale, laquelle statue à trois juges (art. 67 al. 1 let. 1 LOFJ; art. 12 ROTC [règlement organique du Tribunal cantonal; RSV 173.3.1] ─, sa direction statue seule sur le recours lorsqu'il porte exclusivement sur des contraventions (let. a). Tel est le cas en l'espèce, l'ordonnance préfectorale de classement attaquée se référant à une violation simple des règles de la loi sur la circulation routière. Dès lors, la cause relève de la compétence d'un membre de la Chambre des recours pénale qui statue en tant que juge unique (art. 13 al. 2 LVCPP). 2. 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 CREP 22 janvier 2016/63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 ATF 103 II 155 consid. 3 ; CREP 22 juillet 2013/495 consid. 2b ; Calame, op. cit., n. 7 ad art. 382 CPP). L’intérêt pour agir ne se détermine qu’en fonction du dispositif de la décision litigieuse au sens de l’art. 81 al. 1 let. c CPP et non des motifs de celle-ci (CREP 25 juin 2015/433, consid. 2.3 et les références citées). 2.2 En l’espèce, le chiffre I du dispositif de l’ordonnance de classement entreprise met le recourant au bénéfice d’un classement, au sens de l’art. 319 CPP, dans la procédure pénale dirigée contre lui pour infraction simples à la LCR. Il résulte en outre du chiffre II du dispositif que les frais de la procédure ont été laissés à la charge de l’Etat. Dans ces conditions, V.________ n'est pas lésé dans ses droits par l'ordonnance attaquée, bien au contraire (CREP 22 janvier 2016/63 consid.1.3). Il n'a ainsi pas d'intérêt juridiquement protégé à la modification de l'ordonnance préfectorale de classement querellée, de sorte qu'il n'a pas qualité pour recourir contre celle-ci (art. 382 al. 1 CPP a contrario ). 3. Il résulte de ce qui précède que le recours doit être déclaré irrecevable, sans autre échange d’écritures (art. 390 al. 2 CPP). Les frais de la procédure de recours, constitués en l'espèce du seul émolument d'arrêt, par 360 fr. (art. 422 al. 1 CPP et 20 al. 1 i.f. TFIP [Tarif des frais de procédure et indemnités en matière pénale du 28 septembre 2010; RSV 312.03.1]), seront mis à la charge du recourant, qui succombe (art. 428 al. 1 CPP). Par ces motifs, le juge unique prononce : I. Le recours est irrecevable II. Les frais d’arrêt, par 360 fr. (trois cent soixante francs), sont mis à la charge du recourant. III. L’arrêt est exécutoire. Le juge unique :               La greffière : Du Le présent arrêt, dont la rédaction a été approuvée à huis clos, est notifié, par l'envoi d'une copie complète, à : - M. V.________,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