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576 vom 4. August 2017</w:t>
      </w:r>
    </w:p>
    <w:p>
      <w:r>
        <w:t>VD Tribunal cantonal, 2017-08-04, FR</w:t>
      </w:r>
    </w:p>
    <w:p>
      <w:r>
        <w:rPr>
          <w:b/>
        </w:rPr>
        <w:t xml:space="preserve">Quelle: </w:t>
      </w:r>
      <w:r>
        <w:t>https://mcp.opencaselaw.ch/entscheid/vd_findinfo_D_cision___2017___576</w:t>
      </w:r>
    </w:p>
    <w:p>
      <w:r>
        <w:t>FR: VD_FINDINFO Décision / 2017 / 576 du 4 août 2017</w:t>
      </w:r>
    </w:p>
    <w:p>
      <w:r>
        <w:t>IT: VD_FINDINFO Décision / 2017 / 576 del 4 agosto 2017</w:t>
      </w:r>
    </w:p>
    <w:p>
      <w:pPr>
        <w:pStyle w:val="Heading2"/>
      </w:pPr>
      <w:r>
        <w:t>Regeste</w:t>
      </w:r>
    </w:p>
    <w:p>
      <w:r>
        <w:t>RISQUE DE RÉCIDIVE, DÉTENTION PROVISOIRE | 221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2.2</w:t>
      </w:r>
    </w:p>
    <w:p>
      <w:r>
        <w:t>A juste titre, le recourant ne conteste pas l’existence d’indices suffisants de culpabilité. En effet, à ce stade de l’enquête, ses déclarations ainsi que celles de son épouse et de ses enfants permettent de conclure à l’existence de soupçons suffisants à son encontre au sens de l’art. 221 al. 1 CPP. Il conteste en revanche l’existence d’un risque de récidive, en soutenant en substance que sa mise en détention violerait le principe d’égalité de traitement, dès lors que son épouse, qui fait également l’objet d’une enquête pour des faits de violence à son encontre, demeure libre. Or, à l’instar de cette dernière, il aurait admis l’essentiel des infractions qui lui sont reprochées et il prétend avoir pris conscience de ceux-ci.</w:t>
      </w:r>
    </w:p>
    <w:p>
      <w:r>
        <w:rPr>
          <w:b/>
        </w:rPr>
        <w:t>E. 2.2.1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de son potentiel de violence et des circonstances de la commission de l’acte.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(ATF 143 IV 9 consid. 2.6 et 2.7; TF 1B_6/2017 et TF 1B_26/2017 du 8 février 2017 consid. 3.1.1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 ATF 143 IV 9 consid. 2.3.1).</w:t>
      </w:r>
    </w:p>
    <w:p>
      <w:r>
        <w:rPr>
          <w:b/>
        </w:rPr>
        <w:t>E. 2.2.2</w:t>
      </w:r>
    </w:p>
    <w:p>
      <w:r>
        <w:t>Une décision viole le principe de l'égalité de traitement (art. 8 al. 1 Cst. [Constitution de la Confédération suisse du 18 avril 1999; RS 101])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Les situations comparées ne doivent pas nécessairement être identiques en tous points, mais leur similitude doit être établie en ce qui concerne les éléments de fait pertinents pour la décision à prendre (TF 1B_223/2013 du 16 juillet 2013 consid. 4.1 et les références citées).</w:t>
      </w:r>
    </w:p>
    <w:p>
      <w:r>
        <w:rPr>
          <w:b/>
        </w:rPr>
        <w:t>E. 2.2.3</w:t>
      </w:r>
    </w:p>
    <w:p>
      <w:r>
        <w:t>En l’espèce c’est à tort que le recourant se prévaut d’une violation du principe d’égalité de traitement. En effet, en premier lieu, celui-ci perd de vue que chaque situation doit être appréciée pour elle-même. Ensuite, la situation de son épouse et la sienne ne sont pas comparables. Certes, il a admis la commission de nombreuses infractions à l’égard de cette dernière. On ne saurait toutefois en conclure qu’il aurait pris conscience de la gravité de ses actes, dès lors notamment qu’il a récidivé malgré l’ouverture de l’enquête pénale à son égard. Au surplus, il ressort du certificat médical établi récemment par le Dr [...] qu’il présente une symptomatologie anxieuse et dépressive marquée ainsi que des idées persistantes de jalousie envers son épouse et qu’il ne se reconnaît pas comme malade, raison pour laquelle il ne prend pas sa médication de façon régulière. Or, les infractions dont il est accusé, qui sont graves et nombreuses, semblent précisément en lien avec ce trouble. Ces antécédents psychiatriques documentés – qui nécessitent une appréciation médicale – constituent déjà un élément justifiant une différence de traitement par rapport à la situation de son épouse, même si la mise en œuvre d’une expertise psychiatrique a également été ordonnée à l’égard de cette dernière. Enfin, il y a encore lieu de relever que les comportements violents qu’elle a eu à son égard semblent motivés, en partie au moins, par le propre comportement de jalousie maladive dont il fait preuve. Ainsi, au vu de la dangerosité et de l’état psychiatrique du recourant, de la fréquence et de l’intensité de son activité délictuelle, en augmentation et dirigée contre l’intégrité corporelle de son épouse et parfois de tiers, et cela malgré l’ouverture de l’enquête pénale, c’est à juste titre que le Tribunal des mesures de contrainte a considéré que le pronostic était défavorable et qu’il existait un risque de récidive et de passage à l’acte concrets.</w:t>
      </w:r>
    </w:p>
    <w:p>
      <w:r>
        <w:rPr>
          <w:b/>
        </w:rPr>
        <w:t>E. 3</w:t>
      </w:r>
    </w:p>
    <w:p>
      <w:r>
        <w:t>Dans un second moyen, le recourant fait valoir que des mesures de substitution tels qu’une hospitalisation, un suivi thérapeutique ou encore le port d’un bracelet électronique seraient suffisantes.</w:t>
      </w:r>
    </w:p>
    <w:p>
      <w:r>
        <w:rPr>
          <w:b/>
        </w:rPr>
        <w:t>E. 3.1</w:t>
      </w:r>
    </w:p>
    <w:p>
      <w:r>
        <w:t>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à l’art. 237 CPP sont un succédané à la détention provisoire ou pour des motifs de sûreté; elles poursuivent le même objectif – éviter la fuite, la réitération ou la collusion – tout en étant moins sévères; le tribunal doit les prononcer à la place de la détention provisoire ou pour des motifs de sûreté si elles permettent d’empêcher la concrétisation du risque (Schmocker, in : Kuhn/Jeanneret [éd.], Commentaire romand, Code de procédure pénale suisse, Bâle 2011, n. 2 ad art. 237 CPP).</w:t>
      </w:r>
    </w:p>
    <w:p>
      <w:r>
        <w:rPr>
          <w:b/>
        </w:rPr>
        <w:t>E. 3.2</w:t>
      </w:r>
    </w:p>
    <w:p>
      <w:r>
        <w:t>En l’espèce, aucune mesure de substitution n’est à même de prévenir le risque de récidive retenu. En effet, comme on vient de le voir, les infractions commises par le recourant sont étroitement liées aux troubles dont il souffre. Il ressort en outre du dossier que le recourant ne se reconnaît pas comme malade, raison pour laquelle il ne prend pas sa médication de façon régulière. D’ailleurs, il dit avoir repris un suivi il y a trois mois, ce qui ne l’a pas empêché de récidiver au cours de l’enquête. Ainsi, dans la mesure où les précédentes prises en charge ne semblent pas avoir été concluantes, une hospitalisation ou un suivi thérapeutique, sans autres précisions, apparaissent insuffisants. Il convient à tout le moins d’attendre les conclusions de l’expertise psychiatrique d’ores et déjà ordonnée et la mise en place de mesures contraignantes qui pourront être ordonnées sur cette base. Quant aux mesures d’éloignement et à la surveillance au moyen d’un appareil électronique, elles ne permettraient à l’évidence pas de prévenir efficacement le risque de réitération.</w:t>
      </w:r>
    </w:p>
    <w:p>
      <w:r>
        <w:rPr>
          <w:b/>
        </w:rPr>
        <w:t>E. 4.1</w:t>
      </w:r>
    </w:p>
    <w:p>
      <w:r>
        <w:t>La proportionnalité de la détention provisoire (art. 212 al. 3 CPP)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rPr>
          <w:b/>
        </w:rPr>
        <w:t>E. 4.2</w:t>
      </w:r>
    </w:p>
    <w:p>
      <w:r>
        <w:t>En l’espèce, le recourant est détenu depuis une semaine. Compte tenu de la gravité des infractions qui lui sont reprochées, il s'expose à une peine d’une durée largement supérieure à celle de la détention provisoire de trois mois ordonnée. Les conclusions de l’expertise ordonnée seront en outre connues à brève échéance. Le principe de la proportionnalité est donc respecté.</w:t>
      </w:r>
    </w:p>
    <w:p>
      <w:r>
        <w:rPr>
          <w:b/>
        </w:rPr>
        <w:t>E. 5</w:t>
      </w:r>
    </w:p>
    <w:p>
      <w:r>
        <w:t>Il résulte de ce qui précède que le recours, manifestement mal fondé, doit être rejeté sans autres échanges d’écritures (art. 390 al. 2 CPP) et l’ordonnance du 29 juillet 2017 confirmée. Les frais de la procédure de recours, constitués en l’espèce de l’émolument d'arrêt, par 990 fr. (art. 20 al. 1 TFIP [tarif des frais de procédure et indemnités en matière pénale du 28 septembre 2010; RSV 312.03.1]) et des frais imputables à la défense d’office (art. 422 al. 1 et 2 let. a CPP), fixés à 540 fr., plus la TVA par 43 fr. 20, soit à 583 fr. 20 au total, seront mis à la charge de A.D.________,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29 juillet 2017 est confirmée. III. L’indemnité allouée au défenseur d’office de A.D.________ est fixée à 583 fr. 20 (cinq cent huitante-trois francs et vingt centimes). IV. Les frais d’arrêt, par 990 fr. (neuf cent nonante francs), ainsi que l’indemnité due au défenseur d’office de A.D.________, par 583 fr. 20 (cinq cent huitante-trois francs et vingt centimes), sont mis à la charge de ce dernier. V. Le remboursement à l'Etat de l'indemnité allouée au chiffre III ci-dessus ne sera exigible que pour autant que la situation économique de A.D.________ le permette. VI. L’arrêt est exécutoire. Le président :               Le greffier : Du Le présent arrêt, dont la rédaction a été approuvée à huis clos, est notifié, par l'envoi d'une copie complète, à : - Myriam Bitschy, avocate (pour A.D.________), - Ministère public central, et communiqué à : ‑ M. le Président du Tribunal des mesures de contrainte, - Mme la Procureure de l’arrondissement de Lausanne, -     Service de la population, secteur étrangers,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