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560 vom 27. Juli 2017</w:t>
      </w:r>
    </w:p>
    <w:p>
      <w:r>
        <w:t>VD Tribunal cantonal, 2017-07-27, FR</w:t>
      </w:r>
    </w:p>
    <w:p>
      <w:r>
        <w:rPr>
          <w:b/>
        </w:rPr>
        <w:t xml:space="preserve">Quelle: </w:t>
      </w:r>
      <w:r>
        <w:t>https://mcp.opencaselaw.ch/entscheid/vd_findinfo_D_cision___2017___560</w:t>
      </w:r>
    </w:p>
    <w:p>
      <w:r>
        <w:t>FR: VD_FINDINFO Décision / 2017 / 560 du 27 juillet 2017</w:t>
      </w:r>
    </w:p>
    <w:p>
      <w:r>
        <w:t>IT: VD_FINDINFO Décision / 2017 / 560 del 27 luglio 2017</w:t>
      </w:r>
    </w:p>
    <w:p>
      <w:pPr>
        <w:pStyle w:val="Heading2"/>
      </w:pPr>
      <w:r>
        <w:t>Regeste</w:t>
      </w:r>
    </w:p>
    <w:p>
      <w:r>
        <w:t>RISQUE DE FUITE, RISQUE DE RÉCIDIVE, PROPORTIONNALITÉ | 212 al. 3 CPP (CH), 221 al. 1 let. a CPP (CH),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En l’espèce, on peut tout d’abord se demander si le recourant conteste véritablement l’existence de soupçons suffisants de culpabilité. Il évoque en effet longuement sa situation personnelle et soutient que la préméditation et la menace seraient d’emblée exclues. Ainsi, une complicité de tentative de vol pourrait tout au plus être retenue contre lui. Ce faisant, le recourant plaide le fond. Or,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Cette jurisprudence repose sur le principe que le juge de la détention, lorsqu'il apprécie les éléments du dossier pénal, ne doit pas empiéter sur les compétences du juge du fond (ATF 124 I 208 consid. 3). Cela étant, on relève que, selon les déclarations du chauffeur du fourgon, les trois individus impliqués lui ont dit : « Sors du camion, sors du camion » (PV d’audition de [...] du 27 janvier 2017, p. 2 R. 5). Quant à l’autre convoyeur, il a indiqué que les hommes avaient le visage dissimulé par « une cagoule ou peut-être un bonnet avec un foulard » (rapport d’investigation, p. 13). Il résulte de leurs déclarations que l’un des hommes s’en est pris physiquement au chauffeur pour le faire sortir du véhicule. De plus, sur le trajet emprunté par le véhicule que conduisait le recourant après que le trio eut pris la fuite, ont été retrouvés deux liens en plastique (type colson), assemblés entre eux, et formant deux boucles, des gants de travail, un rouleau de ruban adhésif large de plusieurs centimètres, une cagoule et un extincteur (ibidem, p. 14). Compte tenu de ce qui précède, et contrairement à ce qu’avance le recourant en se fondant sur les dires de W.________, il existe des soupçons sérieux que le dessein des prévenus n’était pas limité au vol de matériel de chantier. Le recourant ne fournit en outre aucune explication convaincante quant au motifs pour lesquels il se serait retrouvé, en pleine nuit, peu après le braquage au volant du véhicule occupé par les deux autres prévenus, dont l’un a indiqué avoir attaqué un fourgon blindé avec ses acolytes. Même si l’enquête devra encore préciser le rôle exact joué par chacun, notamment quant au point de savoir qui s’en est pris aux convoyeurs, les éléments figurant au dossier suggèrent que les trois prévenus, animés d’une commune volonté, ont agi de concert pour attaquer le fourgon. Il n’apparaît pas à ce stade que le recourant se soit particulièrement distancé des agissements de ses comparses. En l’état, les charges qui pèsent sur le recourant n’ont pas diminué d’intensité depuis le début de la procédure.</w:t>
      </w:r>
    </w:p>
    <w:p>
      <w:r>
        <w:rPr>
          <w:b/>
        </w:rPr>
        <w:t>E. 3</w:t>
      </w:r>
    </w:p>
    <w:p>
      <w:r>
        <w:t>Le recourant conteste le risque de fuite retenu par le Tribunal des mesures de contrainte.</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3.2</w:t>
      </w:r>
    </w:p>
    <w:p>
      <w:r>
        <w:t>En l’espèce, le recourant, ressortissant français, est domicilié en France. Il n’a ainsi aucune espèce d’attache avec la Suisse. Le fait qu’il détiendrait une société de transport de personnes inscrite en Suisse dont l’activité serait déployée en Suisse n’y change rien. En l’absence de tout véritable lien avec la Suisse, il est fortement à craindre, au vu de la peine qu’il encourrait en cas de condamnation, qu’il cherche à se soustraire aux poursuites engagées contre lui en se réfugiant à l’étranger. Bien réel, le risque de fuite justifie le maintien en détention provisoire du recourant.</w:t>
      </w:r>
    </w:p>
    <w:p>
      <w:r>
        <w:rPr>
          <w:b/>
        </w:rPr>
        <w:t>E. 4</w:t>
      </w:r>
    </w:p>
    <w:p>
      <w:r>
        <w:t>Le recourant soutient qu’il ne présenterait pas de risque de récidive.</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w:t>
      </w:r>
    </w:p>
    <w:p>
      <w:r>
        <w:rPr>
          <w:b/>
        </w:rPr>
        <w:t>E. 4.1.1</w:t>
      </w:r>
    </w:p>
    <w:p>
      <w:r>
        <w:t>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Les délits contre le patrimoine, s’ils peuvent selon les circonstances être fortement dommageables socialement, ne mettent pas directement en danger la sécurité d’autrui, sauf s’il est fait usage de violence (ATF 143 IV 9 consid. 2.7). Les infractions visant le patrimoine commises par métier (escroquerie) ou en bande (vol, ou vol avec violence) sont également à considérer comme compromettant sérieusement la sécurité des victimes potentielles (ATF 143 IV 9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w:t>
      </w:r>
    </w:p>
    <w:p>
      <w:r>
        <w:rPr>
          <w:b/>
        </w:rPr>
        <w:t>E. 4.1.2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ATF 143 IV</w:t>
      </w:r>
    </w:p>
    <w:p>
      <w:r>
        <w:rPr>
          <w:b/>
        </w:rPr>
        <w:t>E. 4.2</w:t>
      </w:r>
    </w:p>
    <w:p>
      <w:r>
        <w:t>En l’espèce, le rapport d’investigation de la police du 27 janvier 2017, au chapitre des antécédents du recourant en France, mentionne ce qui suit : « fraude fiscale, escroquerie, importation de stupéfiants, revente de stupéfiants, participation à une association de malfaiteurs en vue de participation d’un crime, recel, corruption, conduite sans permis, usage de stupéfiants, violence, enlèvement, séquestration, vol avec arme et évasion de détenu (de 1997 à 2015) ». Il est vrai que ces renseignements diffèrent de l’extrait du casier judiciaire français du recourant, qui ne mentionne qu’une condamnation en 2004 à trois ans d’emprisonnement pour recel de biens provenant d’un vol. Il ressort toutefois de l’extrait de son casier judiciaire suisse que le recourant a été condamné à trois reprises, les 18 février, 26 juillet et 17 novembre 2011, par le Ministère public de Genève, pour violation grave des règles de la circulation et conduite sans permis ou malgré un retrait de permis à des peines pécuniaires comprises entre 30 et 60 jours-amende à 30 fr. le jour. Le 16 novembre 2012, il a été condamné par l’autorité précitée pour recel à une peine de 20 jours-amende à 30 fr. le jour avec sursis durant trois ans. Compte tenu de ces précédentes condamnations, dont deux concernent des infractions contre le patrimoine, il est à craindre que le recourant commette à nouveau des actes de même nature pour améliorer ses conditions d’existence. Le risque de récidive justifie également le maintien de B.________ en détention provisoire. 5. Le recourant inv oque une violation du principe de la proportionnalité. 5.1 En vertu de l’art. 212 al. 3 CPP, la détention provisoire et la détention pour des motifs de sûreté ne doivent pas durer plus longtemps que la peine privative de liberté prévisible. Selon la jurisprudence, si la durée de la détention se rapproche trop de celle de la peine privative de liberté à laquelle il faut s’attendre concrètement en cas de condamnation, le prévenu doit être libéré (ATF 139 IV 270 consid. 3.1 et les références citées, SJ 2014 I 180). 5.2 En l’espèce, le recourant est placé en détention provisoire depuis environ six mois. Les faits qui lui sont reprochés pourraient être constitutifs de brigandage, crime qui est puni d’une peine privative de liberté de 10 ans au plus ou d’une peine pécuniaire de 180 jours-amende au moins (art. 140 ch. 1 CP). Compte tenu de la gravité des faits qui lui sont reprochés et de ses antécédents, il est exposé au prononcé d’une peine privative de liberté d’une durée sensiblement supérieure à celle de la détention provisoire qu’il aura subie au terme de la prolongation ordonnée par le Tribunal des mesures de contrainte. Il n’y a dès lors pas lieu de ramener, comme le requiert B.________, à un mois au maximum la durée de la prolongation de la détention provisoire. Il faut en outre préciser qu’il n’y a pas à tenir compte, sauf situations évidentes – hypothèse non réalisée en l’espèce – de la possibilité éventuelle de l'octroi, par le juge du fond, d'un sursis (cf., en ce sens, ATF 133 I 270 consid. 3.4.2; ATF 125 I 60 consid. 3d, et les arrêts cités ; TF 1B_750/2012 du 16 janvier 2013 consid. 2). Pour le surplus, on relève que l’enquête paraît toucher à son terme, le Ministère public attendant, pour engager l’accusation, le rapport final de la police. Le principe de la proportionnalité demeure ainsi respecté. 6. Le recourant propose, à titre de mesures de substitution à la détention provisoire, le dépôt de ses papiers d’identité et l’obligation de se présenter une fois par semaine au poste de gendarmerie le plus proche de son domicile. Ces mesures ne sont toutefois pas à aptes à prévenir le risque de fuite. Elles ne pourraient l’être que si le recourant avait un domicile ou sa résidence habituelle en Suisse, ce qui n’est pas le cas en l’occurrence. Le recourant soutient par ailleurs que le versement de sûretés (cf. art. 237 al. 2 let. a et 238 CPP) serait propre à pallier le risque de fuite retenu. Il ne précise toutefois ni le montant ni l’origine des fonds qu’il serait prêt à verser à titre de sûretés. On ignore ainsi si celles-ci seraient fournies par lui-même ou par un tiers. Il est impossible, dans ces conditions, d’apprécier le caractère approprié de la garantie offerte (TF 1B_576/2012 du 19 octobre 2012 consid. 5.3 et arrêts cités), étant précisé que celui qui prétend à une libération sous caution doit fournir à l'autorité tous les éléments nécessaires pour évaluer le caractère dissuasif du montant proposé (TF 1B_393/2015 du</w:t>
      </w:r>
    </w:p>
    <w:p>
      <w:r>
        <w:rPr>
          <w:b/>
        </w:rPr>
        <w:t>E. 9</w:t>
      </w:r>
    </w:p>
    <w:p>
      <w:r>
        <w:t>décembre 2015 consid. 2.3). Contrairement à ce semble penser le recourant, le montant des sûretés ne peut pas être fixé sans autre « à dire de justice », sans aucune proposition concrète ni collaboration de l’intéressé (ATF 105 Ia 186 consid. 4a;  TF 1P.165/2006 du 19 avril 2006 consid. 3.2.1, publié in SJ 2006 I p. 395 ; TF 1B_576/2012 du 19 octobre 2012 consid. 5.3). 7. En définitive, le recours, manifestement mal fondé, doit être rejeté, sans échange d’écritures (art. 390 al. 2 CPP), et l’ordonnance du 10 juillet 2017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10 juillet 2017 est confirmée. III. L’indemnité allouée au défenseur d’office d’B.________ est fixée à 583 fr. 20 (cinq cent huitante-trois francs et vingt centimes). IV. Les frais d’arrêt, par 990 fr. (neuf cent nonante francs), ainsi que l’indemnité due au défenseur d’office d’B.________, par 583 fr. 20 (cinq cent huitante-trois francs et vingt centimes), sont mis à la charge de ce dernier. V. Le remboursement à l’Etat de l’indemnité allouée au chiffre III ci-dessus ne sera exigible que pour autant que la situation économique d’B.________ le permette. VI. L’arrêt est exécutoire. Le président :               Le greffier : Du Le présent arrêt, dont la rédaction a été approuvée à huis clos, est notifié, par l'envoi d'une copie complète, à : - Me Aurélie Cornamusaz, avocate (pour B.________), - Ministère public central, et communiqué à : - M. le Procureur de l’arrondissement de l’Est vaudois, - Mme la Présidente du Tribunal des mesures de contrainte,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