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56 vom 18. Januar 2017</w:t>
      </w:r>
    </w:p>
    <w:p>
      <w:r>
        <w:t>VD Tribunal cantonal, 2017-01-18, FR</w:t>
      </w:r>
    </w:p>
    <w:p>
      <w:r>
        <w:rPr>
          <w:b/>
        </w:rPr>
        <w:t xml:space="preserve">Quelle: </w:t>
      </w:r>
      <w:r>
        <w:t>https://mcp.opencaselaw.ch/entscheid/vd_findinfo_D_cision___2017___56</w:t>
      </w:r>
    </w:p>
    <w:p>
      <w:r>
        <w:t>FR: VD_FINDINFO Décision / 2017 / 56 du 18 janvier 2017</w:t>
      </w:r>
    </w:p>
    <w:p>
      <w:r>
        <w:t>IT: VD_FINDINFO Décision / 2017 / 56 del 18 gennaio 2017</w:t>
      </w:r>
    </w:p>
    <w:p>
      <w:pPr>
        <w:pStyle w:val="Heading2"/>
      </w:pPr>
      <w:r>
        <w:t>Regeste</w:t>
      </w:r>
    </w:p>
    <w:p>
      <w:r>
        <w:t>DÉCISION D'IRRECEVABILITÉ, IN DUBIO PRO DURIORE, CHOSE VOLÉE | 319 al. 1 CPP (CH)</w:t>
      </w:r>
    </w:p>
    <w:p>
      <w:pPr>
        <w:pStyle w:val="Heading2"/>
      </w:pPr>
      <w:r>
        <w:t>Erwägungen</w:t>
      </w:r>
    </w:p>
    <w:p>
      <w:r>
        <w:rPr>
          <w:b/>
        </w:rPr>
        <w:t>E. 1</w:t>
      </w:r>
    </w:p>
    <w:p>
      <w:r>
        <w:t>CPP). En l'espèce, interjeté dans le délai légal par les plaignants qui ont qualité pour recourir (art. 382 al. 1 CPP), le recours des hoirs de feu E.K.________ est recevable. La recevabilité du recours paraît en revanche douteuse s'agissant de O.________Ltd. En effet, son bénéficiaire économique, U.________, a contesté avoir mandaté l'avocat Romanos Skandamis pour le compte de la société et a d'ailleurs consulté un autre conseil dans le cadre de la procédure. Cette question peut cependant rester ouverte, le recours devant de toute manière être rejeté pour les motifs exposés plus bas.</w:t>
      </w:r>
    </w:p>
    <w:p>
      <w:r>
        <w:rPr>
          <w:b/>
        </w:rPr>
        <w:t>E. 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w:t>
      </w:r>
    </w:p>
    <w:p>
      <w:r>
        <w:rPr>
          <w:b/>
        </w:rPr>
        <w:t>E. 3</w:t>
      </w:r>
    </w:p>
    <w:p>
      <w:r>
        <w:t>Les recourants font tout d'abord grief au Ministère public d'avoir retenu que U.________, à qui aurait été remis le véhicule litigieux, était l'administrateur de la société O.________Ltd. Ils contestent par ailleurs la valeur probante de l'acte de vente du 19 avril 1988 censé établir le droit de propriété de cette société et réclament, partant, l'audition de V.________, D.________ et U.________ afin d'établir l'identité du véritable propriétaire de la BMW 507.</w:t>
      </w:r>
    </w:p>
    <w:p>
      <w:r>
        <w:rPr>
          <w:b/>
        </w:rPr>
        <w:t>E. 3.1</w:t>
      </w:r>
    </w:p>
    <w:p>
      <w:r>
        <w:t>Aux termes de l'art. 139 ch. 1 CP (Code pénal suisse du 21 décembre 1937 ; RS 311.0), celui qui, pour se procurer ou procurer à un tiers un enrichissement illégitime, aura soustrait une chose mobilière appartenant à autrui dans le but de se l’approprier sera puni d’une peine privative de liberté de cinq ans au plus ou d’une peine pécuniaire. L'infraction suppose l'existence d'une chose mobilière appartenant à autrui. Une autre personne que l'auteur doit avoir un droit de propriété sur la chose volée. En outre, pour qu'il y ait vol, il faut que l'auteur soustraie la chose à autrui, c'est-à-dire qu'il brise la possession d'autrui pour constituer une nouvelle possession sur la chose.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 2.4).</w:t>
      </w:r>
    </w:p>
    <w:p>
      <w:r>
        <w:rPr>
          <w:b/>
        </w:rPr>
        <w:t>E. 3.2</w:t>
      </w:r>
    </w:p>
    <w:p>
      <w:r>
        <w:t>En l'espèce, il convient de relever que l'infraction dénoncée par les recourants s'inscrit dans le cadre plus large de la tentative des hoirs de feu E.K.________ de réintégrer dans la masse successorale les biens dont le de cujus aurait disposé par le biais de montages financiers et par l'intermédiaire d'hommes de paille. S'agissant du véhicule litigieux, la Cour de céans ne voit pas, à l'instar du Ministère public, en quoi l'audition par voie de commission rogatoire de V.________, domicilié à Athènes, et de D.________, domicilié à New York, permettrait d'établir l'identité du propriétaire de la BMW 507. En effet, en l'absence de toute pièce relative au droit de propriété sur le véhicule – hormis l'acte de vente du 19 avril 1988 dont les recourants contestent la force probante –, les déclarations de deux amis proches du de cujus ne seraient manifestement pas à même de fonder une certitude à cet égard. Ainsi, même si les deux prénommés devaient déclarer que la BMW 507 était bien la propriété de E.K.________, il ne s'agirait que d'indications basées sur des apparences et non sur la réalité du patrimoine occulte du défunt, de sorte qu'un doute subsisterait inéluctablement à cet égard. Les recourants ne prétendent d'ailleurs nullement que les deux intéressés auraient fait partie des conseillers financiers du défunt et qu'ils pourraient ainsi livrer des informations déterminantes sur ce point. Quant à U.________, l'instruction a permis d'établir qu'il était l'ayant droit économique de la société O.________Ltd et a pris possession du véhicule litigieux en 2010 (cf. PV aud. 2, ll. 32 et 68 ss). Dès lors que l'unique pièce au dossier relative à la propriété de la BMW 507 indique que celui-ci aurait été acquis par ladite société, l'intéressé ne pourrait que confirmer en avoir pris possession pour le compte de O.________Ltd. En outre, on relèvera qu'aucun élément au dossier ne permet de retenir que E.K.________ aurait été le seul propriétaire indirect des avoirs de la société et que U.________ aurait été soumis, par conséquent, à l'obligation de transférer les biens concernés à ses héritiers. De manière plus générale, vu l'absence de liens rattachant les diverses parties concernées à la Suisse, aucune nouvelle mesure d'instruction diligentée par le Ministère public ne serait à même d'établir que E.K.________ aurait été le véritable ayant droit économique de la société O.________Ltd, rien n'indiquant au demeurant que celle-ci n'aurait pas été indépendante du défunt. Il découle de ce qui précède que le recours des hoirs de feu E.K.________ doit être rejeté, la Procureure ayant, à bon droit, retenu qu'aucune chose mobilière appartenant à E.K.________, respectivement à ses héritiers, ne lui avait été soustraite.</w:t>
      </w:r>
    </w:p>
    <w:p>
      <w:r>
        <w:rPr>
          <w:b/>
        </w:rPr>
        <w:t>E. 4</w:t>
      </w:r>
    </w:p>
    <w:p>
      <w:r>
        <w:t>Le recours interjeté par la société O.________Ltd doit également être rejeté, dans la mesure où il est recevable, dès lors que cette société n'indique aucunement qu'une infraction aurait été commise à son détriment. En effet, l'unique pièce relative à la propriété du véhicule litigieux figurant au dossier suggère que celui-ci appartenait à la société recourante. La BMW 507 ayant été remise, à l'époque des faits, à l'ayant droit économique de O.________Ltd, rien ne permet de retenir que la plaignante aurait subi un quelconque préjudice. Par ailleurs, à supposer même que feu E.K.________ eût été, ainsi que le prétendent les recourants, le véritable propriétaire des avoirs de la société O.________Ltd, cette dernière ne pourrait, en conséquence, pas davantage prétendre qu'une infraction aurait été commise à son détriment.</w:t>
      </w:r>
    </w:p>
    <w:p>
      <w:r>
        <w:rPr>
          <w:b/>
        </w:rPr>
        <w:t>E. 5</w:t>
      </w:r>
    </w:p>
    <w:p>
      <w:r>
        <w:t>Enfin, les recourants se plaignent d'un retard injustifié dans la procédure et relèvent que seules cinq auditions ont été menées en plus de deux ans, le Ministère public s'étant selon eux limité à une analyse superficielle du dossier et ayant indûment rejeté leurs réquisitions de preuve.</w:t>
      </w:r>
    </w:p>
    <w:p>
      <w:r>
        <w:rPr>
          <w:b/>
        </w:rPr>
        <w:t>E. 5.1</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consid. 3.3.3 ; ATF 130 I 312 consid. 5.2 ; CREP 20 décembre 2013/735). Si l’autorité de recours constate un déni de justice ou un retard injustifié, elle peut donner des instructions à l’autorité concernée en lui impartissant des délais pour s’exécuter (art. 397 al. 4 CPP).</w:t>
      </w:r>
    </w:p>
    <w:p>
      <w:r>
        <w:rPr>
          <w:b/>
        </w:rPr>
        <w:t>E. 5.2</w:t>
      </w:r>
    </w:p>
    <w:p>
      <w:r>
        <w:t>En l'espèce, la lecture du procès-verbal des opérations ne révèle aucune période d'inactivité notable de la part du Ministère public, celui-ci ayant conduit sans interruption son instruction entre sa reprise de la cause en mars 2014 et la délivrance de l'ordonnance attaquée. Les recourants n'ont d'ailleurs jamais émis de critiques à cet égard avant la réception de l'avis de prochaine clôture annonçant le classement de la procédure et le courrier adressé en réponse le 13 mai 2016. Par ailleurs, au vu du rejet du recours et de la confirmation de l'ordonnance de classement, ce grief est désormais dépourvu d'objet.</w:t>
      </w:r>
    </w:p>
    <w:p>
      <w:r>
        <w:rPr>
          <w:b/>
        </w:rPr>
        <w:t>E. 6</w:t>
      </w:r>
    </w:p>
    <w:p>
      <w:r>
        <w:t>Au vu de ce qui précède, le recours, manifestement mal fondé, doit, sans autre échange d’écritures (art. 390 al. 2 CPP), être rejeté dans la mesure où il est recevable. L’ordonnance du 22 novembre 2016 doit ainsi être confirmée. Les frais de la procédure de recours, constitués en l’espèce de l’émolument d’arrêt, par 1'210 fr. (art. 20 al. 1 TFIP [tarif des frais de procédure et indemnités en matière pénale ; RSV 312.03.1]), seront mis à la charge des recourants, qui succombent (art. 428 al. 1 CPP), solidairement entre eux (art. 418 al. 2 CPP). Par ces motifs, la Chambre des recours pénale prononce : I. Le recours est rejeté dans la mesure où il est recevable. II. L'ordonnance de classement du 22 novembre 2016 est confirmée. III. Les frais d’arrêt, par 1'210 fr. (mille deux cent dix francs), sont mis à la charge des recourants, solidairement entre eux. IV. L’arrêt est exécutoire. Le président :               Le greffier : Du Le présent arrêt, dont la rédaction a été approuvée à huis clos, est notifié, par l'envoi d'une copie complète, à : - Me Romanos Skandamis (pour E.________, A.________, B.K.________, A.K.________, Q.________, N.________, C.K.________, D.K.________, T.________, A.K.________, C.________, L.________, F.K.________, X.________, G.K.________, H.K.________, I.K.________, B.________, R.________ et O.________Ltd),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