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547 vom 4. September 2017</w:t>
      </w:r>
    </w:p>
    <w:p>
      <w:r>
        <w:t>VD Tribunal cantonal, 2017-09-04, FR</w:t>
      </w:r>
    </w:p>
    <w:p>
      <w:r>
        <w:rPr>
          <w:b/>
        </w:rPr>
        <w:t xml:space="preserve">Quelle: </w:t>
      </w:r>
      <w:r>
        <w:t>https://mcp.opencaselaw.ch/entscheid/vd_findinfo_D_cision___2017___547</w:t>
      </w:r>
    </w:p>
    <w:p>
      <w:r>
        <w:t>FR: VD_FINDINFO Décision / 2017 / 547 du 4 septembre 2017</w:t>
      </w:r>
    </w:p>
    <w:p>
      <w:r>
        <w:t>IT: VD_FINDINFO Décision / 2017 / 547 del 4 settembre 2017</w:t>
      </w:r>
    </w:p>
    <w:p>
      <w:pPr>
        <w:pStyle w:val="Heading2"/>
      </w:pPr>
      <w:r>
        <w:t>Regeste</w:t>
      </w:r>
    </w:p>
    <w:p>
      <w:r>
        <w:t>ADMISSION DE LA DEMANDE, CLASSEMENT DE LA PROCÉDURE | 310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En l’espèce, dans son arrêt du 29 mai 2017, le Tribunal fédéral a considéré que la Cour de céans avait violé le droit d’être entendu du recourant, dans la mesure où elle s’était fondée sur un rapport de police dont ce dernier ignorait l’existence et sans lui avoir préalablement donné l’occasion de se déterminer à cet égard.</w:t>
      </w:r>
    </w:p>
    <w:p>
      <w:r>
        <w:rPr>
          <w:b/>
        </w:rPr>
        <w:t>E. 3</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4</w:t>
      </w:r>
    </w:p>
    <w:p>
      <w:r>
        <w:t>En l’espèce, compte tenu des déterminations déposées le 26 juin 2017 par le recourant à la suite de l’arrêt du Tribunal fédéral du 29 mai 2017 et de la procédure pendante à la Préfecture de la Riviera – Pays-d’Enhaut, il convient d’inviter le procureur à communiquer formellement à l’intéressé le rapport de police litigieux en lui impartissant un délai pour se déterminer, puis à prendre, le cas échéant, toutes les mesures et décisions qu’il jugera utiles.</w:t>
      </w:r>
    </w:p>
    <w:p>
      <w:r>
        <w:rPr>
          <w:b/>
        </w:rPr>
        <w:t>E. 5</w:t>
      </w:r>
    </w:p>
    <w:p>
      <w:r>
        <w:t>Il résulte de ce qui précède que le recours doit être admis. L’ordonnance de non-entrée en matière du 18 août 2016 doit être annulée et le dossier de la cause renvoyé au Ministère public de l’arrondissement de l’Est vaudois pour qu’il procède dans le sens des considérants qui précèdent. Les frais de la procédure de recours, constitués en l'espèce du seul émolument d'arrêt, par 550 fr. (art. 422 al. 1 CPP et 20 al. 1 TFIP [Tarif des frais de procédure et indemnités en matière pénale du 28 septembre 2010 ; RSV 312.03.1]), seront laissés à la charge de l’Etat (art. 423 al. 1 CPP). Le recourant, qui a procédé avec l’assistance d’un conseil de choix et qui a obtenu gain de cause, a droit à une indemnité pour les dépenses occasionnées par la procédure de recours (art. 436 al. 1 et 433 al. 1 CPP). Sur la base de la liste des opérations qu’il a produite, il réclame une indemnité pour une activité de 28.20 heures, dont 19.30 heures pour la rédaction du recours et 8.9 heures pour le dépôt de déterminations à la suite de l’arrêt du Tribunal fédéral du 29 mai 2017. Cette durée est excessive. L’affaire étant simple, la défense des intérêts du recourant ne nécessitait pas un nombre d’heures si conséquent. Au vu du mémoire de recours qu’il a déposé (10 pages) et de ses déterminations du 26 juin 2017 (4 pages), cette indemnité sera fixée à 2’100 fr. (correspondant à une activité de 7 heures à 300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 er mars 2017/904) –, par 168 fr., soit à 2’268 fr. au total. Elle sera laissée à la charge de l’Etat. Par ces motifs, la Chambre des recours pénale prononce : I. Le recours est admis. II. L’ordonnance du 18 août 2016 est annulée. III. Le dossier de la cause est renvoyé au Ministère public de l’arrondissement de l’Est vaudois pour qu’il procède dans le sens des considérants. IV. Les frais d’arrêt, par 550 fr. (cinq cent cinquante francs), sont laissés à la charge de l’Etat. V. L’indemnité allouée à I.________ pour les dépenses occasionnées par la procédure de recours est fixée à 2’268 fr. (deux mille deux cent soixante-huit francs), à la charge de l’Etat. VI. L’arrêt est exécutoire. Le vice-président : La greffière : Du Le présent arrêt, dont la rédaction a été approuvée à huis clos, est notifié, par l'envoi d'une copie complète, à : - Me Constance Kaempfer, avocate (pour I.________),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