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512 vom 13. Juli 2017</w:t>
      </w:r>
    </w:p>
    <w:p>
      <w:r>
        <w:t>VD Tribunal cantonal, 2017-07-13, FR</w:t>
      </w:r>
    </w:p>
    <w:p>
      <w:r>
        <w:rPr>
          <w:b/>
        </w:rPr>
        <w:t xml:space="preserve">Quelle: </w:t>
      </w:r>
      <w:r>
        <w:t>https://mcp.opencaselaw.ch/entscheid/vd_findinfo_D_cision___2017___512</w:t>
      </w:r>
    </w:p>
    <w:p>
      <w:r>
        <w:t>FR: VD_FINDINFO Décision / 2017 / 512 du 13 juillet 2017</w:t>
      </w:r>
    </w:p>
    <w:p>
      <w:r>
        <w:t>IT: VD_FINDINFO Décision / 2017 / 512 del 13 luglio 2017</w:t>
      </w:r>
    </w:p>
    <w:p>
      <w:pPr>
        <w:pStyle w:val="Heading2"/>
      </w:pPr>
      <w:r>
        <w:t>Regeste</w:t>
      </w:r>
    </w:p>
    <w:p>
      <w:r>
        <w:t>DÉTENTION PROVISOIRE, RISQUE DE COLLUSION, RISQUE DE RÉCIDIVE, PROCÉDURE PÉNALE DES MINEURS | 221 al. 1 let. b CPP (CH), 221 al. 1 let. c CPP (CH)</w:t>
      </w:r>
    </w:p>
    <w:p>
      <w:pPr>
        <w:pStyle w:val="Heading2"/>
      </w:pPr>
      <w:r>
        <w:t>Erwägungen</w:t>
      </w:r>
    </w:p>
    <w:p>
      <w:r>
        <w:rPr>
          <w:b/>
        </w:rPr>
        <w:t>E. 1.1</w:t>
      </w:r>
    </w:p>
    <w:p>
      <w:r>
        <w:t>La loi fédérale sur la procédure pénale applicable aux mineurs du 20 mars 2009 (PPMin; RS 312.1) régit la poursuite et le jugement des infractions prévues par le droit fédéral commises par des mineurs au sens de l’art. 3 al. 1 de la loi fédérale régissant la condition pénale des mineurs du 20 juin 2003 (Droit pénal des mineurs, DPMin; RS 311.1), ainsi que l’exécution des sanctions prononcées à l’encontre de ceux-ci (art. 1 PPMin). Sauf dispositions particulières de la PPMin, le code de procédure pénale suisse du 5 octobre 2007 (CPP; RS 312.0) est applicable (art. 3 al. 1 et 2 PPmin). Selon l’art. 30 PPMin, l’autorité d’instruction – qui, dans le canton de Vaud, est le juge des mineurs (art. 3 al. 1 let. b et 8 de la loi vaudoise d'introduction de la loi fédérale sur la procédure pénale applicable aux mineurs du 2 février 2010 [LVPPMin;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w:t>
      </w:r>
    </w:p>
    <w:p>
      <w:r>
        <w:rPr>
          <w:b/>
        </w:rPr>
        <w:t>E. 1.2</w:t>
      </w:r>
    </w:p>
    <w:p>
      <w:r>
        <w:t>Le juge des mineurs, en tant qu’autorité d’instruction, est notamment compétent pour ordonner la détention provisoire (art. 26 al. 1 let. b PPMin). En application de l’art. 27 al. 2 PPMin, le Tribunal des mesures de contrainte est compétent pour ordonner, sur requête de l’autorité d’instruction, la prolongation de la détention provisoire, si celle-ci excède sept jours. Le tribunal des mesures de contrainte peut prolonger la détention provisoire plusieurs fois, mais pour un mois au plus à chaque fois (art. 27 al. 3 PPMin).</w:t>
      </w:r>
    </w:p>
    <w:p>
      <w:r>
        <w:rPr>
          <w:b/>
        </w:rPr>
        <w:t>E. 1.3</w:t>
      </w:r>
    </w:p>
    <w:p>
      <w:r>
        <w:t>Le recours contre les prononcés du tribunal des mesures de contrainte est régi par l’art. 222 CPP (art. 27 al. 5 PPMin). La recevabilité et les motifs du recours sont régis par l’art. 393 CPP (art. 39 al. 1 PPMin); le recours est notamment recevable contre la détention provisoire et la détention pour des motifs de sûreté (art. 39 al. 2 let. d PPMin). Les prononcés du tribunal des mesures de contrainte en matière de détention provisoire peuvent être attaqués par la voie du recours à l’autorité de recours des mineurs (cf. art. 7 al. 1 let. c PPMin) qui, dans le canton de Vaud, est la Chambre des recours pénale du Tribunal cantonal (art. 39 al. 3 PPMin et 18 LVPPMin), que ces prononcés aient été rendus sur recours contre une ordonnance de mise en détention provisoire prise par le juge des mineurs ou ensuite d’une demande du juge des mineurs (CREP 8 avril 2011/86 condis. 1c et les références citées).</w:t>
      </w:r>
    </w:p>
    <w:p>
      <w:r>
        <w:rPr>
          <w:b/>
        </w:rPr>
        <w:t>E. 1.4</w:t>
      </w:r>
    </w:p>
    <w:p>
      <w:r>
        <w:t>Interjeté dans le délai légal (art. 396 al. 1 CPP; art. 3 al. 1 et 39 al. 1 PPMin), contre une décision du Tribunal des mesures de contrainte dans un cas prévu par le CPP (art. 393 al. 1 let. c CPP), par le détenu qui a qualité pour recourir (art. 222 et 382 al. 1 CPP; art. 38 PPMin) et dans les formes prescrites (art. 385 al. 1 CPP), le recours de D.________ est recevable.</w:t>
      </w:r>
    </w:p>
    <w:p>
      <w:r>
        <w:rPr>
          <w:b/>
        </w:rPr>
        <w:t>E. 2</w:t>
      </w:r>
    </w:p>
    <w:p>
      <w:r>
        <w:t>PPmin),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Cette disposition doit, conformément à l’art. 3 al. 3 PPMin, être interprétée à la lumière des principes définis à l’art. 4 PPMin, qui prévoit en particulier que la protection et l’éducation du mineur sont déterminantes dans l’application de la PPMin et que l’âge et le degré de développement du mineur doivent être pris en compte de manière appropriée (al. 1). Selon l’art. 27 al. 1 PPMin, la détention provisoire et la détention pour des motifs de sûreté ne sont prononcées qu’à titre exceptionnel et seulement si aucune mesure de substitution n'est envisageable (cf. art. 212 al. 1 let. c et 237 al. 1 CPP). Elles ne doivent pas durer plus longtemps que la peine privative de liberté prévisible (art. 212 al. 3 CPP).</w:t>
      </w:r>
    </w:p>
    <w:p>
      <w:r>
        <w:rPr>
          <w:b/>
        </w:rPr>
        <w:t>E. 2.1.1</w:t>
      </w:r>
    </w:p>
    <w:p>
      <w:r>
        <w:t>Selon l’art. 221 al. 1 CPP (applicable par renvoi de l’art. 3 al. 1 et</w:t>
      </w:r>
    </w:p>
    <w:p>
      <w:r>
        <w:rPr>
          <w:b/>
        </w:rPr>
        <w:t>E. 2.1.2</w:t>
      </w:r>
    </w:p>
    <w:p>
      <w:r>
        <w:t>A teneur de l’art. 37 let. b de la Convention du 20 novembre 1989 relative aux droits de l’enfant, ratifiée et entrée en vigueur pour la Suisse le 26 mars 1997 (RS 0.107), l'arrestation, la détention ou l'emprisonnement d'un enfant doit être en conformité avec la loi, n'être qu'une mesure de dernier ressort, et être d'une durée aussi brève que possible. Cet engagement est notamment concrétisé par l’art. 27 al. 1 PPMin, dont la teneur a été rappelée au considérant qui précède. Ces dispositions imposent une obligation accrue d’examen et de motivation de la part de l’autorité d’instruction, qui ne saurait recourir à la mise en détention provisoire de mineurs de manière routinière, mais uniquement à titre exceptionnel (sur ce sujet, cf. Mazou, Les mesures de contrainte et le recours, in Bohnet/Kuhn [éd.], La procédure pénale applicable aux mineurs, Neuchâtel 2011, pp. 151 ss, spéc. pp. 160 s.). En sa qualité d’autorité chargée de la sauvegarde des droits fondamentaux des prévenus (cf. ATF 142 IV 29), le Tribunal des mesures de contrainte peut notamment astreindre l’autorité d’instruction des mineurs à exécuter des mesures probatoires (Mazou, op. cit., p. 167), de manière à permettre la mise en liberté dès que le risque de collusion pourrait être écarté.</w:t>
      </w:r>
    </w:p>
    <w:p>
      <w:r>
        <w:rPr>
          <w:b/>
        </w:rPr>
        <w:t>E. 2.2.1</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Ia 143 consid. 3c; TF 1B_423/2010 du 17 janvier 2011 consid. 4.1; Schmocker, op. cit., n. 8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143 consid. 3c; TF 1B_423/2010 du 17 janvier 2011 consid. 4.1).</w:t>
      </w:r>
    </w:p>
    <w:p>
      <w:r>
        <w:rPr>
          <w:b/>
        </w:rPr>
        <w:t>E. 2.2.2</w:t>
      </w:r>
    </w:p>
    <w:p>
      <w:r>
        <w:t>En l’espèce, entendu sur les faits qui lui sont reprochés, le recourant a reconnu avoir commis de nombreux vols dans des véhicules, dans des garages et dans un appartement. Il a en outre admis avoir volé un fusil d’assaut et de la munition et avoir tiré avec cette arme. Partant, à l’instar du Tribunal des mesures de contrainte, il y a lieu d’admettre que les soupçons de culpabilité à l’égard de D.________ sont suffisants pour fonder une détention provisoire au sens de l’art. 221 al. 1 CPP, ce que ce dernier ne conteste pas, à juste titre.</w:t>
      </w:r>
    </w:p>
    <w:p>
      <w:r>
        <w:rPr>
          <w:b/>
        </w:rPr>
        <w:t>E. 2.3</w:t>
      </w:r>
    </w:p>
    <w:p>
      <w:r>
        <w:t>Le recourant conteste l’existence d’un risque de collusion et soutient qu’il y avait à tout le moins lieu de prendre des mesures pour l’écarter au plus vite.</w:t>
      </w:r>
    </w:p>
    <w:p>
      <w:r>
        <w:rPr>
          <w:b/>
        </w:rPr>
        <w:t>E. 2.3.1</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2.3.2</w:t>
      </w:r>
    </w:p>
    <w:p>
      <w:r>
        <w:t>En l’espèce, le Tribunal des mesures de contrainte a considéré que le risque de collusion était concret, dès lors que le prévenu avait admis – de manière générale – de nombreux vols sur plusieurs cantons, mais qu’on ignorait encore lesquels lui étaient imputables. Il avait en outre agi avec un ou plusieurs complices et il existerait une cachette. Le Tribunal des mesures de contrainte a ainsi suivi le Juge des mineurs, en relevant que l’activité délictueuse du prévenu était indéterminée dans son ampleur, que l’enquête venait de débuter, que des actes d’instruction devaient être mis en œuvre en collaboration avec d’autres cantons et que, remis en liberté, le prévenu était susceptible de mettre en péril la recherche de la vérité, notamment en alertant d’éventuels complices et/ou en faisant disparaître du butin et des moyens de preuves. Cette analyse échappe à la critique et doit être confirmée. Il ressort en effet du dossier que les dénommés X.________, K.________ et P.________ – ce dernier étant mis en cause pour de nombreux vols, dont celui du fusil d’assaut – n’ont notamment pas encore été entendus et qu’il existerait une cachette, où du butin pourrait avoir été stocké.</w:t>
      </w:r>
    </w:p>
    <w:p>
      <w:r>
        <w:rPr>
          <w:b/>
        </w:rPr>
        <w:t>E. 2.3.3</w:t>
      </w:r>
    </w:p>
    <w:p>
      <w:r>
        <w:t>Le recourant cite la doctrine (Moreillon/Parein-Reymond, Petit commentaire du code de procédure pénale, 2 e éd., Bâle 2016, n. 28 ad art. 221 CPP) et fait valoir que le risque de collusion est en principe exclu dès que le prévenu a fait des aveux crédibles et probants. Il expose en outre avoir autorisé son défenseur à communiquer des informations à la Présidente du Tribunal des mineurs pour permettre d’entendre K.________ et P.________ et avoir demandé à être réentendu à bref délai. Il se prévaut encore d’avoir mis en cause le dénommé X.________, ce qui exclurait qu’il alerte cet éventuel complice. S’agissant de la cachette, il expose enfin qu’il faut l’interroger à ce sujet, dès lors qu’il pourrait apporter une contribution à l’enquête sur ce point. Ainsi, à ce stade de l’instruction, il ne subsisterait aucun risque de collusion. En premier lieu, on ne voit pas en quoi la dénonciation d’un éventuel complice exclurait toute collusion ultérieure avec ce dernier. Cet argument n’est simplement pas convaincant. Par ailleurs, le prévenu a déjà révélé que P.________ avait une cachette, mais a refusé de révéler son emplacement (PV aud. de D.________ du 29 juin 2017, p. 4). Il a donc déjà tenté de protéger ses éventuels complices dans le cadre de la présente procédure, ce qui plaide en faveur de l’existence d’un risque de collusion. Cela étant, même s’il se dit aujourd’hui prêt à coopérer, il n’est pas possible d’affirmer à ce stade qu’il ait pleinement collaboré et qu’il ait fait des aveux crédibles et probants. Il est donc indispensable de le réentendre, tout comme ses éventuels complices – dont certains n’avaient encore pas pu être identifiés à la date de la demande de prolongation de la détention provisoire –, pour garantir la constatation exacte et complète des faits. Cela est d’autant plus important que les déclarations des intéressés sont potentiellement les seuls éléments de preuves qui permettront de déterminer leur implication respective dans les nombreux cas qui ont été portés à la connaissance de l’autorité. L’instruction ne saurait donc être négligée.</w:t>
      </w:r>
    </w:p>
    <w:p>
      <w:r>
        <w:rPr>
          <w:b/>
        </w:rPr>
        <w:t>E. 2.3.4</w:t>
      </w:r>
    </w:p>
    <w:p>
      <w:r>
        <w:t>Le recourant se plaint encore du fait que, bien qu’ayant demandé le</w:t>
      </w:r>
    </w:p>
    <w:p>
      <w:r>
        <w:rPr>
          <w:b/>
        </w:rPr>
        <w:t>E. 2.3.5</w:t>
      </w:r>
    </w:p>
    <w:p>
      <w:r>
        <w:t>En définitive, c’est donc à juste titre que le Tribunal des mesures de contrainte a retenu un risque de collusion. 3. Le recourant conteste qu’un risque de récidive lui soit imputé. Il ne conteste pas avoir déjà été condamné par le passé pour des faits semblables, mais nie qu’il s’agirait de crimes ou de délits graves au sens de la jurisprudence. Il reproche en outre au Tribunal des mesures de contrainte de ne pas avoir tenu compte des circonstances. Enfin, il prétend que les infractions dont la réitération est crainte ne compromettraient pas sérieusement la sécurité d’autrui. 3.1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3.1.1 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TF 1B_6/2017 et TF 1B_26/2017 du 8 février 2017 consid. 3.1.1 et les références citées). Les délits contre le patrimoine, s’ils peuvent selon les circonstances être fortement dommageables socialement, ne mettent pas directement en danger la sécurité d’autrui, sauf s’il est fait usage de violence (ATF 143 IV 9 consid. 2.7). Les infractions visant le patrimoine commises par métier (escroquerie) ou en bande (vol, ou vol avec violence) sont également à considérer comme compromettant sérieusement la sécurité des victimes potentielles (cf. TF 1B_379/2011 du 2 août 2011 consid. 2.9, cité in ATF 143 IV 9 consid.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1B_6/2017 et TF 1B_26/2017 précités et la référence citée).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3.1.2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ATF 143 IV</w:t>
      </w:r>
    </w:p>
    <w:p>
      <w:r>
        <w:rPr>
          <w:b/>
        </w:rPr>
        <w:t>E. 5</w:t>
      </w:r>
    </w:p>
    <w:p>
      <w:r>
        <w:t>juillet dernier à être réentendu sans délai, aucune date n’aurait encore été fixée. Il y aurait ainsi lieu, subsidiairement et afin de tenir compte du principe de la limitation maximale de la durée de la détention provisoire d’un mineur, d’enjoindre au Tribunal des mineurs de procéder sans délai à l’audition de D.________, afin qu’il puisse être remis en liberté à tout le moins une fois qu’il se sera expliqué. En l’occurrence, il n’y a pas lieu de donner une telle injonction. Si la Présidente du Tribunal des mineurs envisage d’entendre le recourant prochainement, elle le fera. Cependant, la nouvelle audition du prévenu devra se faire en fonction de l’avancement de l’enquête, ce qui signifie notamment qu’il faudra que les supposés complices de ce dernier aient pu être retrouvés – ce qui peut s’avérer compliqué, dès lors que ces jeunes gens semblent n’avoir aucun cadre – et interrogés. En outre, on ne saurait reprocher à l’autorité d’instruction de ne donner aucune indication sur la durée probable des actes d’enquête envisagés, puisqu’il n’est pas possible d’estimer cette durée, au vu notamment de la collaboration nécessaire avec d’autres cantons. Ils seront de toute manière effectués dans les meilleurs délais. Enfin, force est de constater que le caractère urgent de la libération du prévenu en relation avec le risque de collusion est fortement relativisé par le fait qu’il y a également lieu de retenir un risque de récidive important (cf. infra consid. 3.2).</w:t>
      </w:r>
    </w:p>
    <w:p>
      <w:r>
        <w:rPr>
          <w:b/>
        </w:rPr>
        <w:t>E. 9</w:t>
      </w:r>
    </w:p>
    <w:p>
      <w:r>
        <w:t>consid. 2.3.1). 3.2 3.2.1 En l’espèce, depuis l’année 2015, D.________ a été condamné par le Juge des mineurs à 6 reprises pour des infractions pénales aussi diverses que lésions corporelles simples, injures, menaces, vol, pornographie, contrainte sexuelle, infractions à la loi fédérale sur les stupéfiants du 3 octobre 1951 (LStup; RS 812.121) et voies de fait. L’intéressé a donc déjà commis des infractions du même genre de celles qui lui sont reprochées, ce qu’il ne conteste pas. Il va sans dire qu’au vu de ces condamnations et des nombreux vols qu’il a reconnu avoir commis ces dernières semaines (dans des voitures, dont certains avec effraction, dans des garages, dans un appartement, un vol de scooter, puis le vol d’un fusil et son utilisation sur la voie publique), il faut constater que tant l’intensité que la fréquence de son activité délictuelles se sont aggravées, pour atteindre des proportions alarmantes. Au demeurant, le recourant passes avec ses amis ou reste à la maison, et fait de manière générale ce que bon lui semble (cf. PV aud. de D.________ du 14 juin 2017 R. 4). Il ne dispose donc d’aucun cadre et le pronostic de récidive est ainsi extrêmement défavorable. En définitive, malgré son jeune âge, D.________ n’a pas hésité à persévérer dans une activité délictueuse, dangereuse et déstabilisante pour la société, en commettant un nombre important de vols, dont certains avec effraction, qui représentent une intrusion dans la sphère d’autrui et non un simple délit contre le patrimoine. De surcroît, ces vols ont été commis en bande, sans la moindre considération pour le patrimoine d’autrui, l’intéressé ayant en outre reconnu à plusieurs reprises en avoir été l’instigateur (PV aud. D.________ du</w:t>
      </w:r>
    </w:p>
    <w:p>
      <w:r>
        <w:rPr>
          <w:b/>
        </w:rPr>
        <w:t>E. 14</w:t>
      </w:r>
    </w:p>
    <w:p>
      <w:r>
        <w:t>juin 2017. En définitive, seule la mise en détention du prévenu a permis de mettre un terme à son activité délictueuse. Ainsi, contrairement à ce qu’il affirme, ce sont précisément les circonstances qui permettent de considérer que les infractions commises, dont on a vu que le risque qu’elles soient réitérées est très élevé, justifient une détention provisoire au sens de l’art. 221 let. c CPP. 3.2.2 A ce qui précède, il faut encore ajouter le vol d’un fusil d’assaut, que le prévenu a porté sur lui en pleine ville, et qu’il a concrètement utilisé en tirant au moins une balle, alors qu’il se trouvait sur la voie publique. Il a ainsi fait courir un risque très important à autrui, ce malgré qu’il se défende d’avoir seulement tiré en l’air ou sur une bouteille. Cet épisode révèle un potentiel de dangerosité supplémentaire et confirme, si besoin était, que le danger pour la sécurité publique est réel et important. 3.2.3 Au vu de ce qui précède, c’est à juste titre que le Tribunal des mesures de contrainte a retenu un risque de récidive. 4. Le recourant prétend que le Tribunal des mesures des contraintes aurait violé le principe de proportionnalité, dès lors qu’il n’aurait qu’examiné si la durée de la détention était proportionnée, alors qu’il aurait dû examiner toutes les alternatives à la détention et prendre toutes les mesures aptes à réduire sa durée au minimum indispensable à l’enquête. 4.1 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4.2 En l’espèce, comme l’a relevé le Président du Tribunal des mineurs dans sa demande de prolongation de la détention provisoire, D.________ est passible d’une peine privative de liberté pouvant aller jusqu’à un an, ainsi que d’un placement en milieu fermé qui pourrait se prolonger jusqu’à ses 25 ans. Par ailleurs, quoi qu’en dise le recourant, aucune mesure de substitution n’est susceptible de prévenir valablement le risque de collusion, au vu de l’instruction qui doit encore être menée, ni encore moins le risque de récidive, au vu de l’activité délictuelle hors du commun relevée au consid. 3.2 ci-dessus. Partant, la détention provisoire telle que prolongée n’est aucunement contraire au principe de la proportionnalité. 5. En définitive, le recours doit être rejeté sans autre échange d’écritures (art. 390 al. 2 CPP) et l’ordonnance de prolongation de la détention provisoire du 5 juillet 2017 doit être confirmée. Les frais de la procédure de recours, constitués en l’espèce du seul émolument d'arrêt (art. 422 al. 1 CPP), par 825 fr. (art. 20 al. 1 et 2 TFIP [tarif des frais de procédure et indemnités en matière pénale du 28 septembre 2010; RSV 312.03.1]), seront mis à la charge du recourant, qui succombe (art. 428 al. 1 CPP; art. 44 al. 2 PPMin). Par ces motifs, la Chambre des recours pénale prononce : I. Le recours est rejeté. II. L’ordonnance de prolongation de la détention provisoire du 5 juillet 2017 est confirmée. III. L’indemnité due au défenseur d’office du recourant est fixée à 583 fr. 20 (cinq cent huitante-trois francs et vingt centimes). IV. Les frais d’arrêt, par 825 fr. (huit cent vingt-cinq francs), ainsi que l’indemnité due au défenseur d’office du recourant, par 583 fr. 20 (cinq cent huitante-trois francs et vingt centimes), sont mis à la charge du recourant. V. Le remboursement à l’Etat de l’indemnité allouée au chiffre III ci-dessus sera exigible pour autant que la situation économique du recourant le permette. IV. L’arrêt est exécutoire. Le vice-président : Le greffier : Du Le présent arrêt, dont la rédaction a été approuvée à huis clos, est notifié, par l'envoi d'une copie complète, à : - Me Arnaud Thièry, avocat (pour D.________), - Ministère public central, et communiqué à : ‑ M. le Président du Tribunal des mesures de contrainte,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