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497 vom 7. Juli 2017</w:t>
      </w:r>
    </w:p>
    <w:p>
      <w:r>
        <w:t>VD Tribunal cantonal, 2017-07-07, FR</w:t>
      </w:r>
    </w:p>
    <w:p>
      <w:r>
        <w:rPr>
          <w:b/>
        </w:rPr>
        <w:t xml:space="preserve">Quelle: </w:t>
      </w:r>
      <w:r>
        <w:t>https://mcp.opencaselaw.ch/entscheid/vd_findinfo_D_cision___2017___497</w:t>
      </w:r>
    </w:p>
    <w:p>
      <w:r>
        <w:t>FR: VD_FINDINFO Décision / 2017 / 497 du 7 juillet 2017</w:t>
      </w:r>
    </w:p>
    <w:p>
      <w:r>
        <w:t>IT: VD_FINDINFO Décision / 2017 / 497 del 7 luglio 2017</w:t>
      </w:r>
    </w:p>
    <w:p>
      <w:pPr>
        <w:pStyle w:val="Heading2"/>
      </w:pPr>
      <w:r>
        <w:t>Regeste</w:t>
      </w:r>
    </w:p>
    <w:p>
      <w:r>
        <w:t>DROIT D'ÊTRE ENTENDU, RISQUE DE FUITE, RISQUE DE RÉCIDIVE, DÉTENTION POUR DES MOTIFS DE SÛRETÉ | 221 CPP (CH), 225 al. 5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K.________ est recevable.</w:t>
      </w:r>
    </w:p>
    <w:p>
      <w:r>
        <w:rPr>
          <w:b/>
        </w:rPr>
        <w:t>E. 2.1</w:t>
      </w:r>
    </w:p>
    <w:p>
      <w:r>
        <w:t>Le recourant se plaint que son défenseur d’office n’ait pas été avisé avant l’audience devant le Tribunal des mesures de contrainte et qu’il n’était ainsi pas assisté. Il semble ainsi invoquer une violation de son droit d’être entendu.</w:t>
      </w:r>
    </w:p>
    <w:p>
      <w:r>
        <w:rPr>
          <w:b/>
        </w:rPr>
        <w:t>E. 2.2</w:t>
      </w:r>
    </w:p>
    <w:p>
      <w:r>
        <w:t>En l’espèce, lors de l’audience du 9 juin 2017 devant le Président du Tribunal d’arrondissement de Lausanne, le recourant a déclaré expressément renoncer à être entendu par le Tribunal des mesures de contrainte et a été informé que son défenseur d’office pourrait se déterminer par écrit. Par télécopie du 9 juin 2017, le Tribunal des mesures de contrainte a imparti au défenseur du prévenu un délai au 10 juin 2017 à 14h30 pour se déterminer par fax sur la demande de détention pour des motifs de sûreté. Il a confirmé ce délai oralement, l’avocat n’étant pas joignable par fax (PV des opérations, inscription ad 9 juin 2017, p. 12). Le défenseur d’office du prévenu ne s’est toutefois pas déterminé dans le délai imparti. Cela étant, et dans l’hypothèse où le recourant n’aurait effectivement pas pu prendre contact avec son avocat, il a désormais eu l’occasion de le faire.  Ce dernier a adressé des déterminations à la Chambre des recours pénale, qui dispose d’un pouvoir d’examen complet en fait et en droit. Une éventuelle violation du droit d’être entendu est ainsi réparée par la présente procédure de recours.</w:t>
      </w:r>
    </w:p>
    <w:p>
      <w:r>
        <w:rPr>
          <w:b/>
        </w:rPr>
        <w:t>E. 3</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l’espèce, le recourant ne conteste pas, à juste titre, l’existence de soupçons de culpabilité suffisants (ATF 139 IV 186 consid. 2; Schmocker, in : Kuhn/Jeanneret [éd.], Commentaire romand, Code de procédure pénale suisse, Bâle 2011, nn. 7 ss ad art. 221 CPP). On peut se référer à cet égard aux charges énoncées dans l’acte d’accusation ainsi qu’à l’ordonnance du Tribunal des mesures de contrainte du 17 août 2016 (p. 3).</w:t>
      </w:r>
    </w:p>
    <w:p>
      <w:r>
        <w:rPr>
          <w:b/>
        </w:rPr>
        <w:t>E. 4</w:t>
      </w:r>
    </w:p>
    <w:p>
      <w:r>
        <w:t>Le recourant soutient qu’il n’avait aucune intention de fuguer de la Fondation [...] et conteste toute velléité de se soustraire à la justice.</w:t>
      </w:r>
    </w:p>
    <w:p>
      <w:r>
        <w:rPr>
          <w:b/>
        </w:rPr>
        <w:t>E. 4.1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La gravité de l'infraction ne peut pas, à elle seule, justifier la prolongation de la détention, même si elle permet souvent de présumer un danger de fuite en raison de l'importance de la peine dont le prévenu est menacé (ATF 125 I 60 consid. 3a; ATF 117 Ia 69 consid. 4a).</w:t>
      </w:r>
    </w:p>
    <w:p>
      <w:r>
        <w:rPr>
          <w:b/>
        </w:rPr>
        <w:t>E. 4.2</w:t>
      </w:r>
    </w:p>
    <w:p>
      <w:r>
        <w:t>En l’espèce, le recourant, ressortissant français, fait l’objet d’une interdiction d’entrée en Suisse, notifiée le 9 février 2016 et valable du 4 février 2016 au 3 février 2026. Il aurait également une fille de 12 ans qui vit en France (PV aud. du 14 août 2016 R. 4). Il convient par ailleurs de relever la précarité de sa situation, l’intéressé ayant indiqué percevoir le RSA en France et vivre de « petits boulots » (ibid.). Enfin, il a évoqué la possibilité de partir pour la France à tout moment. Il y a lieu de craindre, dans ces circonstances, qu’il ne disparaisse dans la clandestinité ou qu’il ne cherche à se dérober aux poursuites pénales engagées contre lui. Le risque de fuite est ainsi suffisamment concret pour justifier la mise en détention pour des motifs de sûreté.</w:t>
      </w:r>
    </w:p>
    <w:p>
      <w:r>
        <w:rPr>
          <w:b/>
        </w:rPr>
        <w:t>E. 5</w:t>
      </w:r>
    </w:p>
    <w:p>
      <w:r>
        <w:t>Le risque de récidive, que le recourant, toxicodépendant, ne semble pas véritablement remettre en cause, est également réalisé. Il résulte en effet de l’extrait de son casier judiciaire qu’entre 2008 et 2015, il a été condamné à neuf reprises pour des lésions corporelles et des vols, à des peines comprises entre 20 jours et 15 mois de peine privative de liberté. Ces précédentes condamnations ne semblent pas avoir eu l’effet dissuasif que l’on pouvait en attendre, puisque le recourant est accusé d’avoir commis des actes graves alors qu’il n’était sorti de prison que depuis quelques mois (ATF 143 IV 9 consid. 2.5).</w:t>
      </w:r>
    </w:p>
    <w:p>
      <w:r>
        <w:rPr>
          <w:b/>
        </w:rPr>
        <w:t>E. 6</w:t>
      </w:r>
    </w:p>
    <w:p>
      <w:r>
        <w:t>Le recourant conteste les faits tels qu’ils sont rapportés par la Fondation [...] dans son fax du 8 juin 2017. Compte tenu de son parcours pénal, il convient d’apprécier ses déclarations avec une certaine réserve. Même s’il est rentré à la Fondation après l’avoir quittée le 7 juin 2017 pour se procurer des stupéfiants, un tel comportement constitue une rupture du cadre qui lui avait été imposé par l’institution. De plus, le recourant n’est pas crédible lorsqu’il affirme que le « matériel de consommation » découvert lors de la fouille de sa chambre se trouvait dans son dépôt, lorsqu’il était détenu en début d’enquête. Force est ainsi de constater que le recourant a trahi la confiance placée en lui par la Fondation [. ..]. Vu la rupture du lien de confiance, la mesure de substitution ordonnée par le Tribunal des mesures de contrainte doit être considérée comme un échec et on ne peut exiger la poursuite du traitement institutionnel des addictions au sein de la Fondation [...]. Quant à la mesure d’instruction requise par le recourant dans ses déterminations, elle doit être rejetée. Le rapport de la Fondation [...] du 8 juin 2017 est suffisamment clair et précis pour que l’on puisse en déduire que le recourant a enfreint des règles qui lui avaient été imposées, au point d’entraîner une rupture du lien de confiance. Enfin, compte tenu de la gravité des actes reprochés au recourant, de ses antécédents et de la peine qu’il encourt, la durée de la détention avant jugement subie à ce jour est proportionnée (art. 212 al. 3 CPP). Le recourant ne le conteste d’ailleurs pas.</w:t>
      </w:r>
    </w:p>
    <w:p>
      <w:r>
        <w:rPr>
          <w:b/>
        </w:rPr>
        <w:t>E. 7</w:t>
      </w:r>
    </w:p>
    <w:p>
      <w:r>
        <w:t>En définitive, le recours doit être rejeté et l’ordonnance du 10 juin 2017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90 fr., plus la TVA, par 7 fr. 20, soit à un total de 97 fr. 20,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10 juin 2017 est confirmée. III. L’indemnité allouée au défenseur d’office de K.________ est fixée à 97 fr. 20 (nonante-sept francs et vingt centimes). IV. Les frais d’arrêt, par 880 fr. (huit cent huitante francs), ainsi que l’indemnité due au défenseur d’office de K.________, par 97 fr. 20 (nonante-sept francs et vingt centimes), sont mis à la charge de ce dernier. V. Le remboursement à l’Etat de l’indemnité allouée au chiffre III ci-dessus ne sera exigible que pour autant que la situation économique de K.________ le permette. VI. L’arrêt est exécutoire. Le président :               Le greffier : Du Le présent arrêt, dont la rédaction a été approuvée à huis clos, est notifié, par l'envoi d'une copie complète, à : - K.________, - Me David Moinat, avocat (pour K.________), - Ministère public central, et communiqué à : - Mme la Présidente du Tribunal des mesures de contrainte, - M. le Président du Tribunal d’arrondissement de Lausanne, - M. le Procureur de l’arrondissement de Lausanne, - Service de la population (K.________,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