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470 vom 27. Juni 2017</w:t>
      </w:r>
    </w:p>
    <w:p>
      <w:r>
        <w:t>VD Tribunal cantonal, 2017-06-27, FR</w:t>
      </w:r>
    </w:p>
    <w:p>
      <w:r>
        <w:rPr>
          <w:b/>
        </w:rPr>
        <w:t xml:space="preserve">Quelle: </w:t>
      </w:r>
      <w:r>
        <w:t>https://mcp.opencaselaw.ch/entscheid/vd_findinfo_D_cision___2017___470</w:t>
      </w:r>
    </w:p>
    <w:p>
      <w:r>
        <w:t>FR: VD_FINDINFO Décision / 2017 / 470 du 27 juin 2017</w:t>
      </w:r>
    </w:p>
    <w:p>
      <w:r>
        <w:t>IT: VD_FINDINFO Décision / 2017 / 470 del 27 giugno 2017</w:t>
      </w:r>
    </w:p>
    <w:p>
      <w:pPr>
        <w:pStyle w:val="Heading2"/>
      </w:pPr>
      <w:r>
        <w:t>Regeste</w:t>
      </w:r>
    </w:p>
    <w:p>
      <w:r>
        <w:t>RÉCUSATION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du Tribunal cantonal est compétente pour statuer sur la demande de récusation présentée par S.________ contre T.________, Présidente du Tribunal correctionnel de l'arrondissement de l’Est vaudois (art. 13 al. 1 LVCPP [Loi cantonale d’introduction du Code de procédure pénale suisse du 19 mai 2009 ; RSV 312.01]) (CREP 6 octobre 2015/652).</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TF 1B_311/2014 du 31 octobre 2014). Dès qu’une partie a connaissance d’un motif de récusation (cf. art. 56 CPP), elle doit le communiquer à l’autorité sans délai (cf. art. 58 al. 1 CPP).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cf CREP 7 octobre 2016/669).</w:t>
      </w:r>
    </w:p>
    <w:p>
      <w:r>
        <w:rPr>
          <w:b/>
        </w:rPr>
        <w:t>E. 2.2</w:t>
      </w:r>
    </w:p>
    <w:p>
      <w:r>
        <w:t>En l’espèce, le requérant, qui a refusé de comparaître et qui a donné l’instruction expresse à son avocat de ne pas le représenter à l’audience, reproche à la Présidente T.________ d’avoir désigné son avocat de choix comme défenseur d’office, afin de tenter de contraindre ce dernier à agir contrairement aux instructions reçues et à violer ainsi son devoir de fidélité. Cette tentative démontrerait que la Présidente aurait perdu « la distance nécessaire à l’accomplissement serein et impartial » de sa charge. Force est de constater que l’on ne discerne pas, dans la décision prise par la Présidente T.________ de désigner l’avocat Cédric Aguet comme défenseur d’office du requérant afin que celui-ci puisse le représenter à la reprise d’audience du 19 juin 2017, d’indices de prévention de la part de cette magistrate à l’égard du requérant. En particulier, on ne saurait y voir une tentative de contrainte à l’égard de l’avocat Cédric Aguet, dont découlerait une apparence de prévention de la magistrate envers le requérant. Il apparaît bien au contraire que la Présidente T.________ a uniquement fait en sorte que l'accusé puisse être défendu à la reprise d'audience qui avait été fixée au 19 juin 2017, dans la mesure où il s'agit d'un cas de défense obligatoire.</w:t>
      </w:r>
    </w:p>
    <w:p>
      <w:r>
        <w:rPr>
          <w:b/>
        </w:rPr>
        <w:t>E. 3</w:t>
      </w:r>
    </w:p>
    <w:p>
      <w:r>
        <w:t>Il résulte de ce qui précède que la demande de récusation présentée le 20 juin 2017 par S.________ doit être rejetée. Les frais de procédure, constitués en l’espèce du seul émolument de décision, par 770 fr. (art. 20 al. 1 TFIP [Tarif des frais de procédure et indemnités en matière pénale du 28 septembre 2010 ; RSV 312.03.1]), seront mis à la charge du requérant (art. 59 al. 4 CPP). On ne saurait en effet, comme le requiert le Ministère public, mettre les frais de procédure à la charge de l’avocat Cédric Aguet en application de l’art. 417 CPP, cette possibilité ne devant être utilisée qu’avec retenue, par exemple lorsque l’avocat interjette un recours dans un cas manifeste d’irrecevabilité (Moreillon/Parein-Reymond, op.cit., nn. 5 s. et les réf. citées). Par ces motifs, la Chambre des recours pénale prononce : I. La demande de récusation présentée le 20 juin 2017 par S.________ est rejetée. II. Les frais de procédure, par 770 fr. (sept cent septante francs), sont mis à la charge de S.________. III. La décision est exécutoire. Le président :               La greffière : Du La présente décision, dont la rédaction a été approuvée à huis clos, est notifiée, par l'envoi d'une copie complète, à : - Me Cédric Aguet, avocat (pour S.________), - Me François Chanson, avocat (pour [...]), - Me Carole Wahlen, avocate (pour [...]), - Ministère public central, et communiquée à : - Mme la Présidente du Tribunal correctionnel de l’arrondissement de l’Est vaudois, - Mme la Procureure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