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42 vom 12. Januar 2017</w:t>
      </w:r>
    </w:p>
    <w:p>
      <w:r>
        <w:t>VD Tribunal cantonal, 2017-01-12, FR</w:t>
      </w:r>
    </w:p>
    <w:p>
      <w:r>
        <w:rPr>
          <w:b/>
        </w:rPr>
        <w:t xml:space="preserve">Quelle: </w:t>
      </w:r>
      <w:r>
        <w:t>https://mcp.opencaselaw.ch/entscheid/vd_findinfo_D_cision___2017___42</w:t>
      </w:r>
    </w:p>
    <w:p>
      <w:r>
        <w:t>FR: VD_FINDINFO Décision / 2017 / 42 du 12 janvier 2017</w:t>
      </w:r>
    </w:p>
    <w:p>
      <w:r>
        <w:t>IT: VD_FINDINFO Décision / 2017 / 42 del 12 gennaio 2017</w:t>
      </w:r>
    </w:p>
    <w:p>
      <w:pPr>
        <w:pStyle w:val="Heading2"/>
      </w:pPr>
      <w:r>
        <w:t>Regeste</w:t>
      </w:r>
    </w:p>
    <w:p>
      <w:r>
        <w:t>ASSISTANCE JUDICIAIRE, PLAIGNANT | 136 CPP (CH)</w:t>
      </w:r>
    </w:p>
    <w:p>
      <w:pPr>
        <w:pStyle w:val="Heading2"/>
      </w:pPr>
      <w:r>
        <w:t>Erwägungen</w:t>
      </w:r>
    </w:p>
    <w:p>
      <w:r>
        <w:rPr>
          <w:b/>
        </w:rPr>
        <w:t>E. 1</w:t>
      </w:r>
    </w:p>
    <w:p>
      <w:r>
        <w:t>Interjeté dans le délai légal (art. 396 al. 1 CPP [Code de procédure pénale suisse du 5 octobre 2007 ; RS 312.0]) contre une ordonnance du Ministère public rejetant la requête d’octroi de l’assistance judiciaire et de désignation d'un conseil juridique gratuit (art. 393 al. 1 let. a CPP), par une partie qui a qualité pour recourir (art. 382 al. 1 CPP) et dans les formes prescrites (art. 385 al. 1 CPP), le recours est recevable.</w:t>
      </w:r>
    </w:p>
    <w:p>
      <w:r>
        <w:rPr>
          <w:b/>
        </w:rPr>
        <w:t>E. 2.1</w:t>
      </w:r>
    </w:p>
    <w:p>
      <w:r>
        <w:t>Le recourant invoque tout d’abord une violation de son droit d’être entendu. Il reproche au Ministère public de ne pas lui avoir donné la possibilité de prendre position avant que soit rendue la décision litigieuse. Il fait également valoir que l’ordonnance du 18 novembre 2016 serait insuffisamment motivée.</w:t>
      </w:r>
    </w:p>
    <w:p>
      <w:r>
        <w:rPr>
          <w:b/>
        </w:rPr>
        <w:t>E. 2.2</w:t>
      </w:r>
    </w:p>
    <w:p>
      <w:r>
        <w:t>Le droit d'être entendu, garanti par l'art. 29 al. 2 Cst. (Constitution fédérale de la Confédération suisse du 18 avril 1999 ; RS 101) et par l'art. 3 al. 2 let. c CPP, confère notamment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(TF 5A_680/2014 du 21 novembre 2014 consid. 4.1 et les références citées ; ATF 108 Ia 293 ; Piquerez/Macaluso, Manuel de procédure pénale suisse, 3 e éd., Bâle 2011, nn. 191 ss ; CREP 2 décembre 2015/793). L e droit d'être entendu comprend également le droit à une décision motivée (cf. art. 80 CPP), ce qui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(Macaluso, in : Kuhn/Jeanneret [éd.], Commentaire romand, Code de procédure pénale suisse, Bâle 2011, n. 10 ad art. 80 CPP ; Bendani, in : Kuhn/Jeanneret [éd.], op. cit., n. 37 ad art. 107 CPP ; ATF 134 I 83 consid. 4.1 ; TF 6B_28/2011 du 7 avril 2011 consid. 1.1).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w:t>
      </w:r>
    </w:p>
    <w:p>
      <w:r>
        <w:t>En l’espèce, l’ordonnance attaquée est certes motivée de manière succincte. Cette motivation peut cependant être tenue pour suffisante. Le recourant a en effet pu contester cette décision en connaissance de cause. Par ailleurs, il est vrai que la procureure ne lui a pas donné l’occasion de prendre position avant de rendre son ordonnance. L’intéressé a toutefois pu exercer valablement son droit d’être entendu en s’exprimant librement devant la Cour de céans, qui dispose du même pouvoir d'examen que l'autorité précédente, et qui peut ainsi contrôler librement l'état de fait et les considérations juridiques de la décision attaquée (art. 391 al. 1 CPP ; TF 1B_36/2010 du 19 avril 2010 ; ATF 133 I 201 consid. 2.2; ATF 129 I 129 consid. 2.2.3 ; CREP 9 décembre 2016/842 consid. 2 ; CREP 26 août 2016/568). Le grief fondé sur une prétendue violation du droit d’être entendu doit donc être rejeté.</w:t>
      </w:r>
    </w:p>
    <w:p>
      <w:r>
        <w:rPr>
          <w:b/>
        </w:rPr>
        <w:t>E. 3.1</w:t>
      </w:r>
    </w:p>
    <w:p>
      <w:r>
        <w:t>Aux termes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 en plus des exigences de l’indigence et des chances de succès (art. 136 al. 1 let. a et b CPP) – l’exigence supplémentaire que l’assistance d’un avocat se révèle nécessaire à la défense des intérêts du requérant (Mazzuchelli/ Postizzi, Basler Kommentar, Schweizerische Strafprozessordnung, Jugendstraf- prozessordnung, 2 e éd., Bâle 2014, n. 16 ad art. 136 CPP ; Harari/Corminboeuf,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 Harari/ 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 Mazzuchelli/Postizzi, op. cit., n. 18 ad art. 136 CPP et les réf. citées). Il faut que le concours d’un avocat soit objectivement ou subjectivement nécessaire (Harari/Corminboeuf, op. cit., n. 61 ad art. 136 CPP ; CREP 23 septembre 2015/578).</w:t>
      </w:r>
    </w:p>
    <w:p>
      <w:r>
        <w:rPr>
          <w:b/>
        </w:rPr>
        <w:t>E. 3.2</w:t>
      </w:r>
    </w:p>
    <w:p>
      <w:r>
        <w:t>En l'espèce, lorsqu’un conseil juridique gratuit a été désigné au recourant le 27 mai 2013, la cause, dont l’instruction était alors relativement peu avancée, pouvait paraître présenter certaines difficultés, en particulier s’agissant de l’établissement des faits. Or, tel n’est plus le cas aujourd’hui, l’enquête touchant à sa fin. Le Ministère public indique en effet dans ses déterminations qu’une ordonnance pénale est en cours de rédaction. Par ailleurs, le recourant a annoncé à deux reprises, les 23 mai 2013 et 24 septembre 2013, qu’il formulerait ses prétentions civiles contre le prévenue dans leur totalité et en temps utile (P. 17/2 et 31/2). Il ne l’a pas fait, quand bien même le dossier avait été mis à deux reprises en prochaine clôture, les 6 décembre 2013 et 20 octobre 2014, en vue d’une mise en accusation de la prévenue. Le recourant n’avait certes par l’obligation, à ce stade, de chiffrer ou motiver ses prétentions civiles (cf. art. 123 al. 2 CPP). Toutefois, à l’époque où le recourant a déposé plainte pénale, le calcul et la motivation des prétentions ne présentait pas de grandes difficultés. Cela est d’autant plus vrai aujourd’hui, alors que l’instruction est pratiquement terminée. En effet, s’agissant d’infractions contre le patrimoine, ces prétentions civiles correspondent au montant du préjudice que le recourant allègue avoir subi du fait du comportement de la prévenue (P. 5/1, 6 et 17/2). Pour le surplus, il faut rappeler que la désignation d’un conseil juridique gratuit ne vaut pas nécessairement pour toute la durée de la procédure pénale. Selon l’art. 134 al. 1 CPP, applicable par renvoi de l’art. 137 CPP, si le motif à l’origine de la désignation du conseil juridique disparaît, la direction de la procédure révoque son mandat d’office. Le fait que le recourant ait précédemment bénéficié des services d’un conseil juridique gratuit ne signifie donc pas que le Ministère public devait impérativement lui en nommer un autre si les conditions d’une telle nomination n’étaient plus réalisées. Tel est le cas en l’occurrence, dès lors que, comme on l’a vu, l’affaire ne présente plus, que ce soit du point de vue de l’établissement des faits ou des prétentions civiles, des difficultés qu’un justiciable non assisté ne pourrait pas surmonter seul. Il résulte de ce qui précède que c’est à bon droit que le Ministère public a rejeté la requête d’octroi de l’assistance judiciaire et de désignation de Me Charles-Henri de Luze en qualité de conseil juridique gratuit du recourant.</w:t>
      </w:r>
    </w:p>
    <w:p>
      <w:r>
        <w:rPr>
          <w:b/>
        </w:rPr>
        <w:t>E. 4</w:t>
      </w:r>
    </w:p>
    <w:p>
      <w:r>
        <w:t>En définitive, le recours doit être rejeté et l’ordonnance du 18 novembre 2016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18 novembre 2016 est confirmée. III. Les frais d’arrêt, par 770 fr. (sept cent septante francs), sont mis à la charge de K.________. IV. L’arrêt est exécutoire. Le président :               Le greffier : Du Le présent arrêt, dont la rédaction a été approuvée à huis clos, est notifié, par l'envoi d'une copie complète, à : - Me Dario Barbosa, avocat (pour K.________), - Ministère public central, et communiqué à : - Mme la Procureure de l’arrondissement de l’Est vaudois, - Me Charles-Henri de Luze,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