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417 vom 7. Juni 2017</w:t>
      </w:r>
    </w:p>
    <w:p>
      <w:r>
        <w:t>VD Tribunal cantonal, 2017-06-07, FR</w:t>
      </w:r>
    </w:p>
    <w:p>
      <w:r>
        <w:rPr>
          <w:b/>
        </w:rPr>
        <w:t xml:space="preserve">Quelle: </w:t>
      </w:r>
      <w:r>
        <w:t>https://mcp.opencaselaw.ch/entscheid/vd_findinfo_D_cision___2017___417</w:t>
      </w:r>
    </w:p>
    <w:p>
      <w:r>
        <w:t>FR: VD_FINDINFO Décision / 2017 / 417 du 7 juin 2017</w:t>
      </w:r>
    </w:p>
    <w:p>
      <w:r>
        <w:t>IT: VD_FINDINFO Décision / 2017 / 417 del 7 giugno 2017</w:t>
      </w:r>
    </w:p>
    <w:p>
      <w:pPr>
        <w:pStyle w:val="Heading2"/>
      </w:pPr>
      <w:r>
        <w:t>Regeste</w:t>
      </w:r>
    </w:p>
    <w:p>
      <w:r>
        <w:t>DÉTENTION POUR DES MOTIFS DE SÛRETÉ, DROIT D'ÊTRE ENTENDU, PROPORTIONNALITÉ | 29 Cst., 231 al. 1 CPP (CH), 237 CPP (CH), 393 al. 1 let. b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En l’occurrence, le Tribunal fédéral a tout d’abord constaté que, dès lors que le recourant entendait contester le maintien en détention ordonné le 3 avril 2017 par le Tribunal correctionnel en application de l’art. 231 al. 1 CPP, c’était à juste titre qu’il avait utilisé la voie du recours au sens de l’art. 393 al. 1 let. b CPP et avait saisi la Chambre des recours pénale du Tribunal cantonal. En effet, cette voie de droit permet un examen différent de celui qui peut prévaloir dans l’hypothèse d’une requête de mise en liberté au sens de l’art. 233 CPP. Ainsi, devant l’autorité de recours, le prévenu peut faire valoir tous ses griefs à l’encontre de la décision de détention rendue par la juridiction inférieure, y compris ceux d’ordre formel, soit par exemple une violation du droit d’être entendu comme c’est le cas en l’espèce. Ce type de reproche ne peut en revanche pas être soulevé devant la direction de la procédure de la juridiction d’appel qui ne statue pas en tant qu’autorité de recours et limite son appréciation à la seule question de la détention au moment de la réception de la demande (cf. arrêt fédéral du 19 mai 2017, consid. 2.1). Dans la mesure où, selon le Tribunal fédéral, le Président de la Cour d’appel pénale n’était pas compétent pour se prononcer sur le recours déposé le</w:t>
      </w:r>
    </w:p>
    <w:p>
      <w:r>
        <w:rPr>
          <w:b/>
        </w:rPr>
        <w:t>E. 4</w:t>
      </w:r>
    </w:p>
    <w:p>
      <w:r>
        <w:t>Sur le plan formel, le recourant se plaint aussi d’une violation du principe de la célérité dès lors qu’aucune décision écrite sur la détention, au moins sommairement motivée, ne lui a été notifiée dans les plus brefs délais après l’audience.</w:t>
      </w:r>
    </w:p>
    <w:p>
      <w:r>
        <w:rPr>
          <w:b/>
        </w:rPr>
        <w:t>E. 4.1</w:t>
      </w:r>
    </w:p>
    <w:p>
      <w:r>
        <w:t>Aux termes de l'art. 29 al. 1 Cst.,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Selon l'art. 5 CPP, les autorités pénales engagent les procédures pénales sans délai et les mènent à terme sans retard injustifié (al. 1). Lorsqu’un prévenu est placé en détention, la procédure doit être conduite en priorité (al. 2). La jurisprudence a ainsi eu l’occasion de préciser que, lorsqu’un tribunal de première instance ou une juridiction d’appel ordonne un placement en détention pour des motifs de sûreté au moment de rendre leur jugement, il leur appartient d’appliquer l’art. 226 al. 2 CPP par analogie. A cet égard, le Tribunal fédéral a considéré qu’il n’était pas suffisant de prononcer une mesure de détention selon l’art. 232 CPP dans le dispositif du jugement, dès lors que la motivation de ce jugement n’était pas notifiée immédiatement. Il y avait lieu de rendre une décision séparée sur la détention afin que le condamné soit en mesure de contester utilement cette mesure. Cette décision peut être notifiée après l’audience mais, compte tenu des enjeux pour le condamné et du caractère sommaire de la décision exigée, la décision doit être expédiée dans les plus brefs délais, conformément au principe de la célérité (art. 5 CPP). Il importe en effet que, dans tous les cas, le condamné puisse prendre connaissance de cette motivation pour pouvoir exercer ses droits de recours à bon escient et en temps utile (ATF 139 IV 179, consid. 2.5 ss ; ATF 138 IV 81 consid. 2.5 et les références citées).</w:t>
      </w:r>
    </w:p>
    <w:p>
      <w:r>
        <w:rPr>
          <w:b/>
        </w:rPr>
        <w:t>E. 4.2</w:t>
      </w:r>
    </w:p>
    <w:p>
      <w:r>
        <w:t>En l’occurrence, on ne peut qu’admettre avec le recourant que le tribunal de première instance n’a pas rendu de décision séparée propre à la détention à l’issue de l’audience du 29 mars 2017 mais qu’il a statué sur cette question dans son dispositif du 3 avril 2017 puis a rappelé ce point dans son jugement au fond, qu’il a adressé sous pli recommandé à K.________ le 7 avril 2017, après avoir reçu une annonce d’appel de l’intéressé (P. 104). Cette manière de faire est discutable et il faut le constater, sans que le non-respect des délais en la matière ait pour conséquence d’entraîner l’élargissement du recourant. Ce ne peut en effet être le cas que si la violation est particulièrement grave et qu'elle laisse craindre que l'autorité de poursuite ne soit plus en mesure de conduire la procédure à chef dans un délai raisonnable (ATF 137 IV 118, consid. 2. et les références). Tel n’est précisément pas le cas en l’espèce. Le fait que le tribunal de première instance n’ait au demeurant pas véritablement motivé, dans son jugement, la décision liée au maintien est sans portée aujourd’hui puisque la Chambre des recours pénale se prononcera, avec un plein pouvoir d’examen, sur la validité de celle-ci dans son arrêt.</w:t>
      </w:r>
    </w:p>
    <w:p>
      <w:r>
        <w:rPr>
          <w:b/>
        </w:rPr>
        <w:t>E. 5</w:t>
      </w:r>
    </w:p>
    <w:p>
      <w:r>
        <w:t>Dans la mesure enfin où, sur le plan formel, le recourant se plaint de la nullité du rectificatif rendu le 4 avril 2017 en application de l’art. 83 CPP, il convient de souligner, avec le Tribunal fédéral, qu’il n’appartient pas au juge de la détention, mais au juge du fond d’examiner de manière approfondie les éventuelles irrégularités affectant le jugement de première instance, respectivement celles contenues dans les prononcés correctifs de celui-ci, lorsque la nullité n’est pas d’emblée manifeste.  Or, dans le cadre de l’examen de la détention, l’hypothèse d’un traitement institutionnel paraît, avec une vraisemblance suffisante, avoir pu entrer en considération au moment du jugement de première instance, vu les conclusions du rapport d’expertise ainsi que celles prises par le Ministère public lors de son réquisitoire.</w:t>
      </w:r>
    </w:p>
    <w:p>
      <w:r>
        <w:rPr>
          <w:b/>
        </w:rPr>
        <w:t>E. 6</w:t>
      </w:r>
    </w:p>
    <w:p>
      <w:r>
        <w:t>Reste à déterminer si le maintien en détention de K.________ pour des motifs de sûreté est justifié au regard de l’art. 231 CPP.</w:t>
      </w:r>
    </w:p>
    <w:p>
      <w:r>
        <w:rPr>
          <w:b/>
        </w:rPr>
        <w:t>E. 6.1</w:t>
      </w:r>
    </w:p>
    <w:p>
      <w:r>
        <w:t>Selon l'art. 231 al. 1 CPP,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 Ces cas de figure ne constituent pas des motifs de détention proprement dits au sens de l'art. 31 al. 1 Cst., mais apportent des précisions d'ordre procédural en relation avec les motifs de détention légaux de l'art. 221 CPP (TF 1B_43/2013 du 1 er mars 2013 consid. 3.1; Marc Forster, op.cit., n° 2 ad. art. 231 CPP).</w:t>
      </w:r>
    </w:p>
    <w:p>
      <w:r>
        <w:rPr>
          <w:b/>
        </w:rPr>
        <w:t>E. 6.2</w:t>
      </w:r>
    </w:p>
    <w:p>
      <w:r>
        <w:t>Une mesure de détention provisoire ou pour des motifs de sûreté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(art. 221 al. 1 CPP; art. 5 par. 1 let. c CEDH; TF 1B_63/2007 du 11 mai 2007 consid. 3 non publié in ATF 133 I 168). La jurisprudence considère que lorsqu'un jugement de condamnation a déjà été rendu, l'existence de forts soupçons au sens de l'art. 221 al. 1 CPP est renforcée (ATF 139 IV 186 consid. 2.2.3).</w:t>
      </w:r>
    </w:p>
    <w:p>
      <w:r>
        <w:rPr>
          <w:b/>
        </w:rPr>
        <w:t>E. 6.2.1</w:t>
      </w:r>
    </w:p>
    <w:p>
      <w:r>
        <w:t>En l’occurrence, le tribunal correctionnel a acquis la conviction que le prévenu s’était rendu coupable de l’essentiel des faits qui lui étaient reprochés, après avoir apprécié les preuves à sa disposition, notamment le témoignage de la victime. Cela étant, il faut considérer qu’il existe en l’espèce des indices suffisants de culpabilité pour justifier le maintien en détention, malgré les dénégations du prévenu.</w:t>
      </w:r>
    </w:p>
    <w:p>
      <w:r>
        <w:rPr>
          <w:b/>
        </w:rPr>
        <w:t>E. 6.2.2</w:t>
      </w:r>
    </w:p>
    <w:p>
      <w:r>
        <w:t>Le maintien en détention pour des motifs de sûreté a été ordonné par le tribunal correctionnel en vue de l’exécution de la mesure prononcée car les premiers juges craignaient un risque de récidive.</w:t>
      </w:r>
    </w:p>
    <w:p>
      <w:r>
        <w:rPr>
          <w:b/>
        </w:rPr>
        <w:t>E. 6.2.2.1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par exemple lorsque celles-ci sont commises en bande et par métier dans le cadre d'un trafic de cannabis d'une certaine envergure (ATF 143 IV 9 précité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précité consid. 2.9).</w:t>
      </w:r>
    </w:p>
    <w:p>
      <w:r>
        <w:rPr>
          <w:b/>
        </w:rPr>
        <w:t>E. 6.2.2.2</w:t>
      </w:r>
    </w:p>
    <w:p>
      <w:r>
        <w:t>En l'espèce, on ne peut que constater que malgré cinq condamnations prononcées à son encontre, dont deux concernaient, entre autres, la même victime, et malgré l'interdiction de périmètre prononcée le 20 mars 2012, le recourant a manifestement continué à s'en prendre à sa grand-mère, âgée de 95 ans, persistant dans son activité délictueuse et démontrant son incapacité à respecter la loi. Ce risque est en outre confirmé par la Dresse [...], qui indique dans son rapport du 18 juillet 2016 que le recourant présente un risque de récidive élevé pour des actes de même nature, notamment tant qu'il souffrira d'une psychose active, d'une consommation chaotique de substances psychoactives et que sa situation sociale sera aussi délétère (P. 52). Dans ces conditions, le risque de réitération doit être considéré comme concret, comme l'ont retenu les premiers juges.</w:t>
      </w:r>
    </w:p>
    <w:p>
      <w:r>
        <w:rPr>
          <w:b/>
        </w:rPr>
        <w:t>E. 6.2.3</w:t>
      </w:r>
    </w:p>
    <w:p>
      <w:r>
        <w:t>Le recourant prétend que son maintien en détention n’est pas conforme au principe de la proportionnalité dès lors que la peine prononcée par le Tribunal correctionnel de La Broye et du Nord vaudois correspond à celle qu’il a déjà purgée. Dans ses déterminations du 1 er juin 2017, il ajoute qu’une mesure de substitution fondée sur l’art. 237 CPP, soit un placement dans un foyer psychiatrique spécialisé tel que préconisé par l’expert, serait en tous les cas suffisant pour parer au risque retenu.</w:t>
      </w:r>
    </w:p>
    <w:p>
      <w:r>
        <w:rPr>
          <w:b/>
        </w:rPr>
        <w:t>E. 6.2.3.1</w:t>
      </w:r>
    </w:p>
    <w:p>
      <w:r>
        <w:t>L’art. 212 al. 3 CPP prévoit que la détention provisoire ou la détention pour des mesures de sûreté ne doit pas durer plus longtemps que la peine privative de liberté prévisible. La proportionnalité de la détention provisoire ou de la détention pour des mesures de sûreté doit être examinée au regard de l’ensemble des circonstances concrètes du cas d’espèce (ATF 133 I 168 consid. 4.1 et les arrêts cités). A cet égard, il est admis que le juge peut maintenir la détention provisoire ou la détention pour des mesures de sûreté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Selon la jurisprudence du Tribunal fédéral, lorsque le prévenu est exposé à une condamnation à un trai­te­ment institutionnel, la prolongation de la détention provisoire ou de la détention pour des motifs de sûreté respecte le principe de la proportion­nalité lorsqu’il faut sérieusement compter avec une mesure entraînant une privation de liberté dont l’exécution complète pourrait durer sensiblement plus longtemps que la détention avant jugement subie jusqu’alors (TF 1B_178/2016 du 7 juin 2016 consid. 4.2 ; ATF 126 I 172 consid. 5e p. 178 ; TF 1B_291/2014 du 8 septembre 2014 consid. 3.2; TF 1B_524/2011 du 13 octobre 2011 consid. 3.1 ; TF 1B_281/2009 du 19 octobre 2009 consid. 3.1-3.2 ; TF 1B_165/2009 du 30 juin 2009 consid. 4.3-4.4).</w:t>
      </w:r>
    </w:p>
    <w:p>
      <w:r>
        <w:rPr>
          <w:b/>
        </w:rPr>
        <w:t>E. 6.2.3.2</w:t>
      </w:r>
    </w:p>
    <w:p>
      <w:r>
        <w:t>Aux termes de l'art. 237 al. 1 CPP, le tribunal compétent ordonne une ou plusieurs mesures moins sévères en lieu et place de la détention si ces mesures permettent d'atteindre le même but que la détention. Les mesures de substitution énumérées à l’art. 237 CPP sont un succédané à la détention provisoire ou pour des motifs de sûreté; elles poursuivent le même objectif – éviter la fuite, la réitération ou la collusion – tout en étant moins sévères ; le tribunal doit les prononcer à la place de la détention provisoire ou pour des motifs de sûreté si elles permettent d’empêcher la concrétisation du risque (Schmocker, op. cit., n. 2 ad art. 237 CPP).</w:t>
      </w:r>
    </w:p>
    <w:p>
      <w:r>
        <w:rPr>
          <w:b/>
        </w:rPr>
        <w:t>E. 6.2.3.3</w:t>
      </w:r>
    </w:p>
    <w:p>
      <w:r>
        <w:t>En l’occurrence, au vu de la pathologie dont souffre le prévenu, dont décou­lent directement les infractions qui lui sont reprochées, du risque de récidive élevé avéré, de l’impossibilité d’ordonner des mesures de substitu­tion immédiatement exécutables et du fait qu’il faut sérieusement compter avec un traitement institutionnel dont l’exécution complète pourrait durer sensiblement plus longtemps que la détention avant jugement subie jusqu’ici, le principe de la propor­tion­nalité demeure respecté. On relèvera en dernier lieu la contradiction qu’il y a pour le recourant à contester le prononcé de la mesure thérapeutique institutionnelle dans le cadre de son appel (P.111) tout en requérant la mise en œuvre de celle-ci à titre de mesure de substitution dans le cadre de son recours.</w:t>
      </w:r>
    </w:p>
    <w:p>
      <w:r>
        <w:rPr>
          <w:b/>
        </w:rPr>
        <w:t>E. 7</w:t>
      </w:r>
    </w:p>
    <w:p>
      <w:r>
        <w:t>Il résulte de ce qui précède que le recours doit en définitive être rejeté et le maintien en détention pour des motifs de sûreté de K.________ confirmé. Malgré le rejet du recours, les frais de la présente procédure, constitués en l’espèce de l’émolu­ment d’arrêt (art. 422 al. 1 CPP), par 1’430 fr. (art. 20 al. 1 TFIP  [Tarif des frais de procédure et indemnités en matière pénale du 28 septembre 2010 ; RSV 312.03.1]), et des frais imputables à la défense d’office (art. 422 al. 1 et 2 let. a CPP), fixés à 720 fr., plus la TVA par 57 fr. 60, soit un total de 777 fr. 60, ne seront supportés que par moitié par le recourant, soit par 1’103 fr. 80, le solde des frais étant exceptionnellement laissé à la charge de l’Etat, compte tenu de la violation du droit d’être entendu constatée (ATF 139 IV 179 consid. 2.7 ; ATF 137 IV 118, consid. 2.2). Le remboursement à l’Etat de la moitié de l’indemnité allouée au défenseur d’office du recourant ne sera exigible que pour autant que la situation économique de K.________ le permette (art. 135 al. 4 CPP). Par ces motifs, la Chambre des recours pénale prononce : I. Le recours est rejeté. II. Le maintien en détention de K.________ pour des motifs de sûreté est confirmé. III. L’indemnité allouée au défenseur d’office de K.________ pour la procédure de recours est fixée à 777 fr. 60 (sept cent septante-sept francs et soixante centimes), TVA comprise. IV. Les frais d’arrêt, par 1’430 fr. (mille quatre cent trente francs), ainsi que l’indemnité allouée au défenseur d’office du recourant, par 777 fr. 60 (sept cent septante-sept francs et soixante centimes), sont mis par moitié à la charge du recourant, soit par 1'103 fr. 80 (mille cent trois francs et huitante centimes), le solde étant laissé à la charge de l’Etat. V. Le remboursement à l’Etat de la moitié de l’indemnité allouée au chiffre III ci-dessus ne sera exigible que pour autant que la situation économique de K.________ le permette. VI. L’arrêt est exécutoire. Le président :               La greffière : Du Le présent arrêt, dont la rédaction a été approuvée à huis clos, est notifié, par l'envoi d'une copie complète, à : - Me Daniel Trajilovic, avocat (pour K.________), - Ministère public central, et communiqué à : ‑ M. le Président du Tribunal correctionnel de l’arrondissement de La Broye et du Nord vaudois, - Mme la Procureure de l’arrondissement de l’Est vaudois,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