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399 vom 31. Mai 2017</w:t>
      </w:r>
    </w:p>
    <w:p>
      <w:r>
        <w:t>VD Tribunal cantonal, 2017-05-31, FR</w:t>
      </w:r>
    </w:p>
    <w:p>
      <w:r>
        <w:rPr>
          <w:b/>
        </w:rPr>
        <w:t xml:space="preserve">Quelle: </w:t>
      </w:r>
      <w:r>
        <w:t>https://mcp.opencaselaw.ch/entscheid/vd_findinfo_D_cision___2017___399</w:t>
      </w:r>
    </w:p>
    <w:p>
      <w:r>
        <w:t>FR: VD_FINDINFO Décision / 2017 / 399 du 31 mai 2017</w:t>
      </w:r>
    </w:p>
    <w:p>
      <w:r>
        <w:t>IT: VD_FINDINFO Décision / 2017 / 399 del 31 maggio 2017</w:t>
      </w:r>
    </w:p>
    <w:p>
      <w:pPr>
        <w:pStyle w:val="Heading2"/>
      </w:pPr>
      <w:r>
        <w:t>Regeste</w:t>
      </w:r>
    </w:p>
    <w:p>
      <w:r>
        <w:t>EXÉCUTION ANTICIPÉE, RISQUE DE COLLUSION | 236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2 e éd., Bâle 2014, n. 10 ad art. 393 CPP; Hug, in : Donatsch/ Hansjakob/Lieber (éd.), Kommentar zur Schweizerischen Straf-prozessordnung, 2 e éd., 2014, n. 17 ad art. 236 CPP ; CREP 24 octobre 2016/654 ; CREP 17 novembre 2015/745 ; CREP 30 janvier 2013/34 ;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par le prévenu qui a qualité pour recourir (art. 382 al. 1 CPP) et qui satisfait aux conditions de forme posées par l’art. 385 al. 1 CPP.</w:t>
      </w:r>
    </w:p>
    <w:p>
      <w:r>
        <w:rPr>
          <w:b/>
        </w:rPr>
        <w:t>E. 2.1</w:t>
      </w:r>
    </w:p>
    <w:p>
      <w:r>
        <w:t>Contestant l'existence du risque de collusion retenu par la Procureure dans l'ordonnance entreprise, le recourant soutient que les conditions d'une exécution anticipée de peine seraient réalisées.</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ainsi que, le cas échéant, de lui offrir de meilleures chances de resocialisation (ATF 133 I 270 consid. 3.2.1; ATF 126 I 172 consid. 3a; TF 6B_73/2017 du 16 février 2017 consid. 2.1 destiné à la publication). La poursuite de la détention sous la forme de l'exécution anticipée de la peine présuppose tout d'abord l'existence d'un des motifs de détention provisoire prévus à l'art. 221 al. 1 let. a, b ou c CPP et sa durée doit respecter le principe de la proportionnalité (TF 6B_73/2017 du 16 février 2017 consid. 2.1 destiné à la publication;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Pour retenir l'existence d'un risque de collusion au sens de la disposition précédente,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p. 23 s. et les références citées). Plus l'instruction se trouve à un stade avancé et les faits établis avec précision, plus les exigences relatives à la preuve de l'existence d'un risque de collusion sont élevées (ATF 137 IV 122 consid. 4.2; ATF 132 I 21 consid. 3.2.2; TF 1B_127/2017 du 20 avril 2017 ; TF 1B_449/2015 du 15 janvier 2016 consid. 2.3; TF 1B_742/2012 du 17 janvier 2013 consid. 2.2). L'art. 236 al. 1 in fine CPP suppose de plus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(TF 1B_127/2017 du 20 avril 2017 consid. 2.1 ; TF 1B_189/2014 du 28 juillet 2014 consid. 2.3 et les références citées). Un danger de collusion n'exclut cependant pas nécessairement la mise en place d'une exécution anticipée de peine. Cela étant, dans l'intérêt de l'instruction, ce motif de détention peut alors justifier de limiter certains allégements qu'offre ce régime (cf. art. 236 al. 4 CPP; ATF 133 I 270 consid. 3.2.1 p. 278). Celui-ci ne permet en effet pas de prévenir aussi efficacement d'éventuels actes de collusion que le régime qui prévaut en matière de détention provisoire proprement dite. L'exécution anticipée de la peine doit néanmoins être refusée lorsqu'un risque élevé de collusion demeure, de sorte que le but de la détention et les besoins de l'instruction seraient compromis si le régime de l'exécution anticipée devait être mis en oeuvre (TF 1B_127/2017 du 20 avril 2017 consid. 2.1 ; TF 1B_449/2015 du 15 janvier 2016 consid. 2.3).</w:t>
      </w:r>
    </w:p>
    <w:p>
      <w:r>
        <w:rPr>
          <w:b/>
        </w:rPr>
        <w:t>E. 2.3</w:t>
      </w:r>
    </w:p>
    <w:p>
      <w:r>
        <w:t>En l’espèce, le recourant expose que l’instruction touche pratiquement à sa fin et qu’il a admis être l’auteur des faits du 30 mars 2016 (cf. PV aud. 14). En outre, il aurait largement eu la possibilité, avant son arrestation en France en septembre 2016, de prendre contact avec la victime ou avec des témoins, s’il avait eu l’intention de compromettre la manifestation de la vérité. Cette argumentation ne saurait être suivie. Lors de son interrogatoire de police du 1 er février 2017, le recourant, s’il n’a pas nié être l’auteur des faits, n’a pas fourni de renseignements très précis sur les circonstances de l’altercation. Il a en particulier expliqué avoir agi sous l’empire de la drogue au moment des faits, précisant que la victime l’avait menacé et insulté (PV aud. 14, pp. 3-4 ; P. 52, p. 5). L’intéressé apparaît ainsi imprévisible, voire dangereux. Or, l’un des témoins qui doit été réentendu par la procureure, [...], a assisté aux faits. Sa déposition est ainsi susceptible d’apporter des éléments essentiels à l’enquête. Il importe dès lors d’éviter que le recourant prenne contact avec ce témoin, dans le but d’influencer ses déclarations. Tant que le témoin n’a pas été entendu, le risque de collusion demeure élevé et s’oppose au placement du recourant en régime d’exécution de peine. Compte tenu de ce qui précède, la requête du recourant tendant à ce qu’il soit mis au bénéfice du régime de l’exécution anticipée de peine apparaît à tout le moins prématurée. Un tel régime pourra toutefois de nouveau être envisagé lorsque le témoin précité aura été entendu par la procureure.</w:t>
      </w:r>
    </w:p>
    <w:p>
      <w:r>
        <w:rPr>
          <w:b/>
        </w:rPr>
        <w:t>E. 3</w:t>
      </w:r>
    </w:p>
    <w:p>
      <w:r>
        <w:t>Il résulte de ce qui précède que le recours doit être rejeté et l’ordonnance du 15 mai 2017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15 mai 2017 est confirmée. III. L'indemnité allouée au défenseur d'office de R.________ est fixée à 583 fr. 20 (cinq cent huitante-trois francs et vingt centimes). IV. Les frais d'arrêt, par 770 fr. (sept cent septante francs), ainsi que l'indemnité due au défenseur d'office de R.________, par 583 fr. 20 (cinq cent huitante-trois francs et vingt centimes), sont mis à la charge de ce dernier. V. Le remboursement à l'Etat de l'indemnité allouée au chiffre III ci-dessus sera exigible pour autant que la situation de R.________ le permette. VI. L’arrêt est exécutoire. Le président :               Le greffier : Du Le présent arrêt, dont la rédaction a été approuvée à huis clos, est notifié, par l'envoi d'une copie complète, à : - Me Robert Fox,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