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393 vom 30. Mai 2017</w:t>
      </w:r>
    </w:p>
    <w:p>
      <w:r>
        <w:t>VD Tribunal cantonal, 2017-05-30, FR</w:t>
      </w:r>
    </w:p>
    <w:p>
      <w:r>
        <w:rPr>
          <w:b/>
        </w:rPr>
        <w:t xml:space="preserve">Quelle: </w:t>
      </w:r>
      <w:r>
        <w:t>https://mcp.opencaselaw.ch/entscheid/vd_findinfo_D_cision___2017___393</w:t>
      </w:r>
    </w:p>
    <w:p>
      <w:r>
        <w:t>FR: VD_FINDINFO Décision / 2017 / 393 du 30 mai 2017</w:t>
      </w:r>
    </w:p>
    <w:p>
      <w:r>
        <w:t>IT: VD_FINDINFO Décision / 2017 / 393 del 30 maggio 2017</w:t>
      </w:r>
    </w:p>
    <w:p>
      <w:pPr>
        <w:pStyle w:val="Heading2"/>
      </w:pPr>
      <w:r>
        <w:t>Regeste</w:t>
      </w:r>
    </w:p>
    <w:p>
      <w:r>
        <w:t>DÉTENTION PROVISOIRE, PRINCIPE DE LA CÉLÉRITÉ, PROPORTIONNALITÉ | 212 al. 3 CPP (CH), 221 CPP (CH), 5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Le recourant ne conteste pas l’existence de soupçons de culpabilité suffisants ni les motifs de détention – risques de fuite et de collusion – sur lesquels est fondée l’ordonnance litigieuse. Il soutient en revanche que la prolongation de sa détention provisoire pour une durée de trois mois violerait le principe de la proportionnalité.</w:t>
      </w:r>
    </w:p>
    <w:p>
      <w:r>
        <w:rPr>
          <w:b/>
        </w:rPr>
        <w:t>E. 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2.3</w:t>
      </w:r>
    </w:p>
    <w:p>
      <w:r>
        <w:t>En l’espèce, le recourant estime que la prolongation de la détention provisoire serait manifestement disproportionnée, dès lors qu’il serait certain de bénéficier du sursis, total ou partiel, son casier judiciaire étant vierge. Il se réfère à cet égard à un avis de doctrine, selon lequel l’hypothèse de l’octroi du sursis (total ou partiel) et éventuellement d’une libération conditionnelle constituent des éléments d’appréciation non dénués de pertinence, dont le juge de la détention provisoire devrait pouvoir tenir compte lorsqu’il est appelé à statuer sur la prolongation d’une telle mesure de contrainte (cf. Robert-Nicoud, in : Kuhn/Jeanneret [éd.], Commentaire romand, Code de procédure pénale suisse, Bâle 2011, n. 15 ad art. 212 CPP, p. 990). Cet avis de doctrine ne saurait toutefois prévaloir sur la jurisprudence claire du Tribunal fédéral selon laquelle l’octroi possible du sursis ne constitue pas un élément déterminant sous l’angle de la proportionnalité. Pour le surplus, on relève que le recourant est détenu depuis le 21 novembre 2016, soit depuis un peu plus de six mois. Il est notamment prévenu d’infraction grave à la LStup, qui est passible d’une peine privative de liberté d’un an au moins. Le recourant est ainsi exposé au prononcé d’une peine privative de liberté – assortie ou non du sursis – d’une durée supérieure à celle de la détention provisoire subie, si les faits qui lui sont imputés étaient avérés. Le principe de la proportionnalité demeure donc respecté.</w:t>
      </w:r>
    </w:p>
    <w:p>
      <w:r>
        <w:rPr>
          <w:b/>
        </w:rPr>
        <w:t>E. 3.1</w:t>
      </w:r>
    </w:p>
    <w:p>
      <w:r>
        <w:t>Le recourant estime que la détention provisoire dont la prolongation a été ordonnée serait disproportionnée en raison d’un retard injustifié dans le cours de la procédure pénale.</w:t>
      </w:r>
    </w:p>
    <w:p>
      <w:r>
        <w:rPr>
          <w:b/>
        </w:rPr>
        <w:t>E. 3.2</w:t>
      </w:r>
    </w:p>
    <w:p>
      <w:r>
        <w:t>Concrétisant le principe de la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il doit toutefois s'agir d'un manquement particulièrement grave, faisant au surplus apparaître que l'autorité de poursuite n'est plus en mesure de conduire la procédure à chef dans un délai raisonnable (ATF 140 IV 74 consid. 3.2 p. 80).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 TF 1B_18/2017 du 3 février 2017 consid. 6).</w:t>
      </w:r>
    </w:p>
    <w:p>
      <w:r>
        <w:rPr>
          <w:b/>
        </w:rPr>
        <w:t>E. 3.3</w:t>
      </w:r>
    </w:p>
    <w:p>
      <w:r>
        <w:t>En l’espèce, le recourant estime qu’au vu de la relative simplicité du dossier, la mise en accusation aurait dû intervenir dans des délais beaucoup plus courts. Selon lui, le fait que l’enquête ait pris du retard du fait de la procédure de fixation de for avec le canton du Valais n’y changerait rien. Il n’aurait en particulier pas à pâtir de problèmes d’organisation rencontrés par les autorités de poursuites pénales des cantons de Vaud et du Valais. L’intéressé se plaint également de ce qu’il a fallu attendre près de quatre mois pour obtenir les résultats d’analyse de la substance retrouvée en sa possession lors de son interpellation ainsi qu’à son domicile. Il soutient que, comme la procédure de fixation de for a abouti  en date du 9 mai 2017 (P. 31/3) et que le dossier des autorités valaisannes a d’ores et déjà été reçu par le Ministère public vaudois (P. 32), une prolongation de la détention provisoire d'un mois, soit au 21 juin 2017, laisserait au Ministère public suffisamment de temps, à partir de la réception du rapport final de police au début du mois de juin 2017, pour procéder à une audition récapitulative et établir un acte d'accusation. Ces griefs sont dénués de pertinence. En effet, on ne voit pas que la procédure pénale ait éprouvé des retards particuliers, que ce soit en relation avec l’analyse de la substance retrouvée en possession du recourant lors de son arrestation ainsi qu'à son domicile, ou du fait de la procédure de fixation de for. Le temps nécessaire à ces opérations n’a rien d’excessif. Par ailleurs, plusieurs mesures d’instruction restent à accomplir, à savoir notamment le dépôt du rapport final de police, l’audition récapitulative du prévenu, l’avis de prochaine clôture (art. 318 al. 1 CPP), le traitement d’éventuelles réquisitions de preuve qui seraient présentées dans ce cadre et la rédaction de l’acte d’accusation. On ne saurait voir dans le fait que l’enquête n’est pas encore tout à fait complète un manque de célérité de la part du Ministère public. Dans ces circonstances, la prolongation de la détention provisoire pour une durée de trois mois, telle qu’ordonnée par le Tribunal des mesures de contrainte, échappe à la critique.</w:t>
      </w:r>
    </w:p>
    <w:p>
      <w:r>
        <w:rPr>
          <w:b/>
        </w:rPr>
        <w:t>E. 4</w:t>
      </w:r>
    </w:p>
    <w:p>
      <w:r>
        <w:t>Il résulte de ce qui précède que le recours, manifestement mal fondé, doit être rejeté sans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de D.________ ne sera toutefois exigible que pour autant que la situation économique de ce dernier le permette (art. 135 al. 4 CPP). Par ces motifs, la Chambre des recours pénale prononce : I. Le recours est rejeté. II. L’ordonnance du 16 mai 2017 est confirmée. III. L’indemnité allouée au défenseur d’office de D.________ est fixée à 388 fr. 80 (trois cent huitante-huit francs et huitante centimes). IV. Les frais d’arrêt, par 660 fr. (six cent soixante francs), ainsi que l’indemnité due au défenseur d’office de D.________, par 388 fr. 80 (trois cent huitante-huit francs et huitante centimes), sont mis à la charge de ce dernier. V. Le remboursement à l’Etat de l’indemnité allouée au chiffre III ci-dessus sera exigible pour autant que la situation économique de D.________ le permette. VI. L’arrêt est exécutoire. Le président :               Le greffier : Du Le présent arrêt, dont la rédaction a été approuvée à huis clos, est notifié, par l'envoi d'une copie complète, à : - Me Cheryl Cuchard, avocate (pour D.________), - Ministère public central, et communiqué à : - Mme la Procureure du Ministère public Strada, - Mme la Présidente du Tribunal des mesures de contrainte, - Service de la population, secteur étrangers (D.________,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