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378 vom 26. Mai 2017</w:t>
      </w:r>
    </w:p>
    <w:p>
      <w:r>
        <w:t>VD Tribunal cantonal, 2017-05-26, FR</w:t>
      </w:r>
    </w:p>
    <w:p>
      <w:r>
        <w:rPr>
          <w:b/>
        </w:rPr>
        <w:t xml:space="preserve">Quelle: </w:t>
      </w:r>
      <w:r>
        <w:t>https://mcp.opencaselaw.ch/entscheid/vd_findinfo_D_cision___2017___378</w:t>
      </w:r>
    </w:p>
    <w:p>
      <w:r>
        <w:t>FR: VD_FINDINFO Décision / 2017 / 378 du 26 mai 2017</w:t>
      </w:r>
    </w:p>
    <w:p>
      <w:r>
        <w:t>IT: VD_FINDINFO Décision / 2017 / 378 del 26 maggio 2017</w:t>
      </w:r>
    </w:p>
    <w:p>
      <w:pPr>
        <w:pStyle w:val="Heading2"/>
      </w:pPr>
      <w:r>
        <w:t>Regeste</w:t>
      </w:r>
    </w:p>
    <w:p>
      <w:r>
        <w:t>PROPORTIONNALITÉ, DÉTENTION PROVISOIRE | 212 al. 3 CPP (CH)</w:t>
      </w:r>
    </w:p>
    <w:p>
      <w:pPr>
        <w:pStyle w:val="Heading2"/>
      </w:pPr>
      <w:r>
        <w:t>Erwägungen</w:t>
      </w:r>
    </w:p>
    <w:p>
      <w:r>
        <w:rPr>
          <w:b/>
        </w:rPr>
        <w:t>E. 10</w:t>
      </w:r>
    </w:p>
    <w:p>
      <w:r>
        <w:t>août 2017. C. Par acte du 18 mai 2017, A.C.________, représentée par son défenseur d'office, a interjeté recours contre cette ordonnance, en concluant, avec suite de frais et dépens, principalement à sa réforme en ce sens que la requête de prolongation déposée le 26 avril 2017 par le Ministère public soit rejetée et que sa libération immédiate soit ordonnée. Subsidiairement, elle a conclu à l'annulation de l'ordonnance et au renvoi de la cause au Tribunal des mesures de contrainte pour nouvelle décision dans le sens des considérants. Agissant sous sa propre plume, la recourante a déposé une écriture complémentaire le 23 mai 2017. Il n'a pas été ordonné d'échange d'écritures. En droit : 1. Aux termes de l’art. 393 al. 1 let. c CPP (Code de procédure pénale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En l’espèce, le recours a été interjeté en temps utile et dans les formes prescrites (cf. art. 385 al. 1 CPP) par la prévenue qui a qualité pour recourir (art. 382 CPP), de sorte qu’il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ATF 116 Ia 143 consid. 3c; TF 1B_408/2015 du 10 décembre 2015 consid. 2.2; TF 1B_348/2013 du 21 octobre 2013 consid. 2.1.1; Schmocker, op. cit., n. 8 ad art. 221 CPP). Les autorités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ATF 116 Ia 413 consid. 3c; TF 1B_423/2010 du 17 janvier 2011 consid. 4.1; TF 1B_410/2010 du 23 décembre 2010 consid. 4.1; Forster, in : Niggli/Heer/Wiprächtiger [éd.], Basler Kommentar, Schweizerische Strafprozessordnung, 2 e éd., Bâle 2014, n. 3 ad art. 221 CPP). Ainsi, au stade de la détention provisoire, l'autorité n'a pas à résoudre définitivement les questions de qualification juridique des faits poursuivis, puisque cela est du ressort, le cas échéant, de l'autorité de jugement. Dans le cadre de l'examen des charges suffisantes au sens de l'art. 221 CPP, le juge de la détention doit examiner la qualification juridique des faits prima facie , sous l'angle de la simple vraisemblance (ATF 137 IV 122 consid. 3.2). 2.2 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3. En l'espèce, la recourante ne conteste pas l’existence d’indices suffisants de culpabilité ni celle des risque de fuite et de collusion retenus par le Tribunal des mesures de contrainte. La Cour ajoute que l’existence d’un risque de fuite avait été confirmée par le Tribunal fédéral (TF 1B_36/2017 du 16 février 2017 consid. 4), la juridiction fédérale ayant expressément renoncé à examiner le risque de collusion (ibid., consid. 4 in fine). La recourante invoque en revanche la violation du principe de la proportionnalité de la détention provisoire (art. 212 al. 3 CPP). A cet égard, elle soutient que les seules infractions qui pourraient être retenues contre elle seraient celles de faux dans les titres et de blanchiment d’argent, et que l’instruction aurait permis d’exclure toute implication de sa part dans le brigandage (recours, p. 3). Se référant à de précédents selon elle similaires concernant des condamnations pour blanchiment d’argent, elle soutient qu’elle risquerait une peine privative de liberté comprise entre huit et quinze mois (recours, pp. 4-5) et que la détention provisoire ordonnée, qui a commencé le 13 mai 2016, ne serait ainsi plus proportionnée au regard de la peine privative de liberté susceptible d’être prononcée. Toutefois, la recourante omet de rappeler qu’elle est prévenue non seulement de blanchiment d’argent qualifié, mais également de faux dans les titres et de complicité de brigandage qualifié, et que, dans son arrêt 1B_36/2017 du 16 février 2017 (consid. 5), le Tribunal fédéral a estimé que, même si l'on ne devait prendre en considération que les deux premières infractions, sans retenir la forme qualifiée, la recourante s'exposait en l'état à une peine privative de liberté plus longue que la détention provisoire subie à la date de cet arrêt. En outre, l’accusation de complicité de brigandage qualifié peut encore parfaitement être prise en considération à ce stade, contrairement à ce que soutient la recourante. On rappellera en effet que, dans son arrêt déjà cité, le Tribunal fédéral a souligné qu’il appartiendrait au juge du fond de déterminer si la recourante a agi contre son gré et si l’aide postérieure au braquage apportée à l’un des auteurs du brigandage – soit lui avoir remis un téléphone portable avec une carte à prépaiement et une enveloppe contenant sa part du butin – devait établir son implication dans le brigandage, comme semble le retenir le Ministère public, ou ne devait tomber que sous le coup de la disposition pénale réprimant le blanchiment d'argent. C’est donc en vain que la recourante se plaint à cet égard d’une violation de la présomption d’innocence au sens de l’art. 10 al. 1 CPP (recours, pp. 5-6), dès lors qu’il existe, en l’état, des indices suffisants pour retenir également l’accusation de complicité de brigandage qualifié. Au regard des faits qui lui sont reprochés, la détention provisoire de la recourante apparaît encore proportionnée à la peine privative de liberté susceptible d’être prononcée. 4. En définitive, le recours, manifestement mal fondé, doit être rejeté sans autre échange d’écritures (art. 390 al. 2 CPP) et l'ordonnance du 8 mai 2017 confirmée. Les frais de la procédure de recours, constitués en l’espèce de l’émolument d'arrêt, par 880 fr. (art. 20 al. 1 TFIP [tarif des frais judiciaires de procédure et indemnités en matière pénale du 28 septembre 2010; RSV 312.03.1]), et des frais imputables à la défense d’office (art. 422 al. 1 et 2 let. a CPP), fixés à 540 fr., plus la TVA par 43 fr. 20, soit à 583 fr. 20 au total,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8 mai 2017 est confirmée. III. L'indemnité allouée au défenseur d'office d’A.C.________ est fixée à 583 fr. 20 (cinq cent huitante-trois francs et vingt centimes). IV. Les frais d'arrêt, par 880 fr. (huit cent huitante francs), ainsi que l'indemnité due au défenseur d'office de la recourante, par 583 fr. 20 (cinq cent huitante-trois francs et vingt centimes), sont mis à la charge de cette dernière. V. Le remboursement à l'Etat de l'indemnité allouée au chiffre III ci-dessus sera exigible pour autant que la situation de la recourante se soit améliorée. VI. L’arrêt est exécutoire. Le vice-président : Le greffier : Du Le présent arrêt, dont la rédaction a été approuvée à huis clos, est notifié, par l'envoi d'une copie complète, à : - Me Etienne Campiche (pour A.C.________),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