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360 vom 8. Mai 2017</w:t>
      </w:r>
    </w:p>
    <w:p>
      <w:r>
        <w:t>VD Tribunal cantonal, 2017-05-08, FR</w:t>
      </w:r>
    </w:p>
    <w:p>
      <w:r>
        <w:rPr>
          <w:b/>
        </w:rPr>
        <w:t xml:space="preserve">Quelle: </w:t>
      </w:r>
      <w:r>
        <w:t>https://mcp.opencaselaw.ch/entscheid/vd_findinfo_D_cision___2017___360</w:t>
      </w:r>
    </w:p>
    <w:p>
      <w:r>
        <w:t>FR: VD_FINDINFO Décision / 2017 / 360 du 8 mai 2017</w:t>
      </w:r>
    </w:p>
    <w:p>
      <w:r>
        <w:t>IT: VD_FINDINFO Décision / 2017 / 360 del 8 maggio 2017</w:t>
      </w:r>
    </w:p>
    <w:p>
      <w:pPr>
        <w:pStyle w:val="Heading2"/>
      </w:pPr>
      <w:r>
        <w:t>Regeste</w:t>
      </w:r>
    </w:p>
    <w:p>
      <w:r>
        <w:t>NON-LIEU |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En l'espèce, interjeté en temps utile et dans les formes prescrites (art. 385 al. 1 CPP) auprès de l’autorité compétente, par la partie plaignante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2.2</w:t>
      </w:r>
    </w:p>
    <w:p>
      <w:r>
        <w:t>La jurisprudence reconnaît aux personnes qui se prétendent victimes de traitements prohibés au sens des art. 10 al. 3 Cst., 7 Pacte ONU II, 3 CEDH ou 13 par. 1 de la Convention des Nations unies contre la torture et autres peines ou traitements cruels, inhumains ou dégradants conclue à New York le 10 décembre 1984 (RS 0.105; ci-après: convention de New York), d'une part, le droit de porter plainte et, d'autre part, un droit propre à une enquête prompte et impartiale devant aboutir, s'il y a lieu, à la condamnation pénale des responsables. En particulier, l'art. 3 CEDH, combiné avec l'art. 1 CEDH ou avec l'art. 13 CEDH,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(ATF 138 IV 86 consid. 3.1.1 p. 88; ATF 131 I 455 consid. 1.2.5 p. 462 et les références citées).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6B_147/2016 du 12 octobre 2016 consid. 1.2; TF 6B_474/2013 du 23 août 2013 consid. 1.4 et les références citées). L'allégation d'un traitement prohibé par l'art. 3 CEDH est défendable lorsqu'elle ne se révèle pas d'emblée dépourvue de crédibilité (TF 6B_147/2016 du 12 octobre 2016 consid. 1.2; TF 6B_362/2009 du 13 juillet 2009 consid. 1.1 publié in PJA 2009 p. 1479 s.). 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w:t>
      </w:r>
    </w:p>
    <w:p>
      <w:r>
        <w:rPr>
          <w:b/>
        </w:rPr>
        <w:t>E. 2.3</w:t>
      </w:r>
    </w:p>
    <w:p>
      <w:r>
        <w:t>Selon l’art. 126 al. 1 CP (Code pénal; RS 311.0), celui qui se sera livré sur une personne à des voies de fait qui n'auront causé ni lésion corporelle ni atteinte à la santé sera, sur plainte, puni d'une amende. Réprimant l’abus d’autorité, l’art. 312 CP prévoit que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rPr>
          <w:b/>
        </w:rPr>
        <w:t>E. 3</w:t>
      </w:r>
    </w:p>
    <w:p>
      <w:r>
        <w:t>Dans le cas particulier, l’une des images de la vidéosurveillance de la prison (P. 13/1) montre un détenu remontant un couloir entouré de gardiens en uniforme dont l’un le tient en posant sa main droite sur sa bouche. Cet agent et la posture de sa main révélée par le cliché répondent, de prime abord, à la description faite par le plaignant lors de son audition du 27 janvier 2017. Placer la main sur la bouche d’un tiers par ailleurs entravé pourrait être constitutif de voies de fait ou d’abus d’autorité au sens légal. Par ailleurs, le recourant a produit un certificat médical faisant état de traces cutanées, dont on ignore cependant dans quelles circonstances elles sont survenues, faute pour le rapport en question de se prononcer à cet égard. Daté du 22 décembre 2016, cet avis médical est postérieur de trois jours aux faits dénoncés. Il n’est pas à exclure a priori que de telles traces cutanées mettent plus de trois jours pour s’estomper. Il ressort du rapprochement de ces différents éléments que les allégations du plaignant n’apparaissent pas d’emblée invraisemblables, sous l’angle au moins des deux infractions susmentionnées. Peu importe, à cet égard, que ce soit de manière apparemment légère que le plaignant a fait état d’une tentative de meurtre. En l’état, les éléments portés à la connaissance du Ministère public justifient donc l’ouverture d’une enquête pénale, sans qu’il soit nécessaire d’examiner les autres griefs soulevés dans le recours. Il découle de ce qui précède que c’est à tort que le Procureur a refusé d'entrer en matière sur la plainte du recourant.</w:t>
      </w:r>
    </w:p>
    <w:p>
      <w:r>
        <w:rPr>
          <w:b/>
        </w:rPr>
        <w:t>E. 4</w:t>
      </w:r>
    </w:p>
    <w:p>
      <w:r>
        <w:t>En définitive, le recours doit être admis. L'ordonnance attaquée sera annulée et le dossier de la cause renvoyé au Ministère public pour qu’il ouvre une instruction pénale à raison des faits dénoncés.</w:t>
      </w:r>
    </w:p>
    <w:p>
      <w:r>
        <w:rPr>
          <w:b/>
        </w:rPr>
        <w:t>E. 5</w:t>
      </w:r>
    </w:p>
    <w:p>
      <w:r>
        <w:t>Le recourant sollicite l’octroi de l’assistance judiciaire gratuite (art. 136 CPP) pour la procédure de recours. Au vu de l’issue de la procédure, il y a lieu d’admettre cette requête en ce sens que Me Bayenet, déjà consulté, est désigné en qualité de conseil juridique gratuit pour la procédure de recours (art. 136 al. 2 let. c CPP). Les frais de la procédure de recours, constitués en l’espèce de l’émolument d'arrêt (art. 422 al. 1 CPP), par 770 fr. (art. 20 al. 1 TFIP [tarif des frais de procédure et indemnités en matière pénale du 28 septembre 2010; RSV 312.03.1]), et des frais imputables au conseil juridique gratuit (art. 422 al. 1 et 2 let. a CPP), fixés à 720 fr., plus la TVA par 57 fr. 60, soit 777 fr. 60 au total, seront laissés à la charge de l’Etat (art. 423 al. 1 CPP). Par ces motifs, la Chambre des recours pénale prononce : I. Le recours est admis. II. L’ordonnance du 28 mars 2017 est annulée. III. Le dossier de la cause est renvoyé au Ministère public central, division affaires spéciales, pour qu’il procède dans le sens des considérants. IV. Me Pierre Bayenet est désigné comme conseil juridique gratuit d’F.________ pour la procédure de recours. V. L’indemnité allouée au conseil juridique gratuit du recourant est fixée à 777 fr. 60 (sept cent septante-sept francs et soixante centimes), TVA et débours compris. VI. Les frais d’arrêt, par 770 fr. (sept cent septante francs), ainsi que l’indemnité due au défenseur d’office du recourant, par 777 fr. 60 (sept cent septante-sept francs et soixante centimes), sont laissés à la charge de l’Etat. VII. L’arrêt est exécutoire. Le président :               Le greffier : Du Le présent arrêt, dont la rédaction a été approuvée à huis clos, est notifié, par l'envoi d'une copie complète, à : - Me Pierre Bayenet, avocat (pour F.________),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